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A13" w:rsidRPr="00645A13" w:rsidRDefault="00645A13" w:rsidP="00645A13">
      <w:pPr>
        <w:pBdr>
          <w:bottom w:val="single" w:sz="6" w:space="7" w:color="EEEEEE"/>
        </w:pBdr>
        <w:spacing w:before="300" w:after="450" w:line="240" w:lineRule="auto"/>
        <w:outlineLvl w:val="0"/>
        <w:rPr>
          <w:rFonts w:ascii="inherit" w:eastAsia="Times New Roman" w:hAnsi="inherit" w:cs="Times New Roman"/>
          <w:color w:val="476D2F"/>
          <w:kern w:val="36"/>
          <w:sz w:val="38"/>
          <w:szCs w:val="38"/>
          <w:lang w:eastAsia="es-CO"/>
        </w:rPr>
      </w:pPr>
      <w:r w:rsidRPr="00645A13">
        <w:rPr>
          <w:rFonts w:ascii="inherit" w:eastAsia="Times New Roman" w:hAnsi="inherit" w:cs="Times New Roman"/>
          <w:color w:val="476D2F"/>
          <w:kern w:val="36"/>
          <w:sz w:val="38"/>
          <w:szCs w:val="38"/>
          <w:lang w:eastAsia="es-CO"/>
        </w:rPr>
        <w:fldChar w:fldCharType="begin"/>
      </w:r>
      <w:r w:rsidRPr="00645A13">
        <w:rPr>
          <w:rFonts w:ascii="inherit" w:eastAsia="Times New Roman" w:hAnsi="inherit" w:cs="Times New Roman"/>
          <w:color w:val="476D2F"/>
          <w:kern w:val="36"/>
          <w:sz w:val="38"/>
          <w:szCs w:val="38"/>
          <w:lang w:eastAsia="es-CO"/>
        </w:rPr>
        <w:instrText xml:space="preserve"> HYPERLINK "http://cajaviviendapopular.gov.co/index.php/normograma-de-vivienda-nueva" </w:instrText>
      </w:r>
      <w:r w:rsidRPr="00645A13">
        <w:rPr>
          <w:rFonts w:ascii="inherit" w:eastAsia="Times New Roman" w:hAnsi="inherit" w:cs="Times New Roman"/>
          <w:color w:val="476D2F"/>
          <w:kern w:val="36"/>
          <w:sz w:val="38"/>
          <w:szCs w:val="38"/>
          <w:lang w:eastAsia="es-CO"/>
        </w:rPr>
        <w:fldChar w:fldCharType="separate"/>
      </w:r>
      <w:r w:rsidRPr="00645A13">
        <w:rPr>
          <w:rFonts w:ascii="inherit" w:eastAsia="Times New Roman" w:hAnsi="inherit" w:cs="Times New Roman"/>
          <w:color w:val="476D2F"/>
          <w:kern w:val="36"/>
          <w:sz w:val="38"/>
          <w:szCs w:val="38"/>
          <w:u w:val="single"/>
          <w:lang w:eastAsia="es-CO"/>
        </w:rPr>
        <w:t>NORMOGRAMA DE VIVIENDA NUEVA</w:t>
      </w:r>
      <w:r w:rsidRPr="00645A13">
        <w:rPr>
          <w:rFonts w:ascii="inherit" w:eastAsia="Times New Roman" w:hAnsi="inherit" w:cs="Times New Roman"/>
          <w:color w:val="476D2F"/>
          <w:kern w:val="36"/>
          <w:sz w:val="38"/>
          <w:szCs w:val="38"/>
          <w:lang w:eastAsia="es-CO"/>
        </w:rPr>
        <w:fldChar w:fldCharType="end"/>
      </w:r>
    </w:p>
    <w:p w:rsidR="00645A13" w:rsidRPr="00645A13" w:rsidRDefault="00645A13" w:rsidP="00645A13">
      <w:pPr>
        <w:spacing w:before="150" w:after="150" w:line="300" w:lineRule="atLeast"/>
        <w:outlineLvl w:val="3"/>
        <w:rPr>
          <w:rFonts w:ascii="inherit" w:eastAsia="Times New Roman" w:hAnsi="inherit" w:cs="Times New Roman"/>
          <w:b/>
          <w:bCs/>
          <w:sz w:val="26"/>
          <w:szCs w:val="26"/>
          <w:lang w:eastAsia="es-CO"/>
        </w:rPr>
      </w:pPr>
      <w:r w:rsidRPr="00645A13">
        <w:rPr>
          <w:rFonts w:ascii="inherit" w:eastAsia="Times New Roman" w:hAnsi="inherit" w:cs="Times New Roman"/>
          <w:b/>
          <w:bCs/>
          <w:sz w:val="26"/>
          <w:szCs w:val="26"/>
          <w:lang w:eastAsia="es-CO"/>
        </w:rPr>
        <w:t> </w:t>
      </w:r>
    </w:p>
    <w:tbl>
      <w:tblPr>
        <w:tblW w:w="0" w:type="auto"/>
        <w:tblCellMar>
          <w:top w:w="15" w:type="dxa"/>
          <w:left w:w="15" w:type="dxa"/>
          <w:bottom w:w="15" w:type="dxa"/>
          <w:right w:w="15" w:type="dxa"/>
        </w:tblCellMar>
        <w:tblLook w:val="04A0" w:firstRow="1" w:lastRow="0" w:firstColumn="1" w:lastColumn="0" w:noHBand="0" w:noVBand="1"/>
      </w:tblPr>
      <w:tblGrid>
        <w:gridCol w:w="737"/>
        <w:gridCol w:w="3009"/>
        <w:gridCol w:w="5362"/>
      </w:tblGrid>
      <w:tr w:rsidR="00645A13" w:rsidRPr="00645A13" w:rsidTr="00645A13">
        <w:trPr>
          <w:trHeight w:val="300"/>
        </w:trPr>
        <w:tc>
          <w:tcPr>
            <w:tcW w:w="0" w:type="auto"/>
            <w:shd w:val="clear" w:color="auto" w:fill="476D2F"/>
            <w:tcMar>
              <w:top w:w="135" w:type="dxa"/>
              <w:left w:w="135" w:type="dxa"/>
              <w:bottom w:w="135" w:type="dxa"/>
              <w:right w:w="135" w:type="dxa"/>
            </w:tcMar>
            <w:vAlign w:val="center"/>
            <w:hideMark/>
          </w:tcPr>
          <w:p w:rsidR="00645A13" w:rsidRPr="00645A13" w:rsidRDefault="00645A13" w:rsidP="00645A13">
            <w:pPr>
              <w:spacing w:after="0" w:line="240" w:lineRule="auto"/>
              <w:jc w:val="center"/>
              <w:rPr>
                <w:rFonts w:ascii="Times New Roman" w:eastAsia="Times New Roman" w:hAnsi="Times New Roman" w:cs="Times New Roman"/>
                <w:b/>
                <w:bCs/>
                <w:color w:val="FFFFFF"/>
                <w:sz w:val="21"/>
                <w:szCs w:val="21"/>
                <w:lang w:eastAsia="es-CO"/>
              </w:rPr>
            </w:pPr>
            <w:r w:rsidRPr="00645A13">
              <w:rPr>
                <w:rFonts w:ascii="Times New Roman" w:eastAsia="Times New Roman" w:hAnsi="Times New Roman" w:cs="Times New Roman"/>
                <w:b/>
                <w:bCs/>
                <w:color w:val="FFFFFF"/>
                <w:sz w:val="21"/>
                <w:szCs w:val="21"/>
                <w:lang w:eastAsia="es-CO"/>
              </w:rPr>
              <w:t>AÑO</w:t>
            </w:r>
          </w:p>
        </w:tc>
        <w:tc>
          <w:tcPr>
            <w:tcW w:w="0" w:type="auto"/>
            <w:shd w:val="clear" w:color="auto" w:fill="476D2F"/>
            <w:tcMar>
              <w:top w:w="135" w:type="dxa"/>
              <w:left w:w="135" w:type="dxa"/>
              <w:bottom w:w="135" w:type="dxa"/>
              <w:right w:w="135" w:type="dxa"/>
            </w:tcMar>
            <w:vAlign w:val="center"/>
            <w:hideMark/>
          </w:tcPr>
          <w:p w:rsidR="00645A13" w:rsidRPr="00645A13" w:rsidRDefault="00645A13" w:rsidP="00645A13">
            <w:pPr>
              <w:spacing w:after="0" w:line="240" w:lineRule="auto"/>
              <w:jc w:val="center"/>
              <w:rPr>
                <w:rFonts w:ascii="Times New Roman" w:eastAsia="Times New Roman" w:hAnsi="Times New Roman" w:cs="Times New Roman"/>
                <w:b/>
                <w:bCs/>
                <w:color w:val="FFFFFF"/>
                <w:sz w:val="21"/>
                <w:szCs w:val="21"/>
                <w:lang w:eastAsia="es-CO"/>
              </w:rPr>
            </w:pPr>
            <w:r w:rsidRPr="00645A13">
              <w:rPr>
                <w:rFonts w:ascii="Times New Roman" w:eastAsia="Times New Roman" w:hAnsi="Times New Roman" w:cs="Times New Roman"/>
                <w:b/>
                <w:bCs/>
                <w:color w:val="FFFFFF"/>
                <w:sz w:val="21"/>
                <w:szCs w:val="21"/>
                <w:lang w:eastAsia="es-CO"/>
              </w:rPr>
              <w:t>NORMA</w:t>
            </w:r>
          </w:p>
        </w:tc>
        <w:tc>
          <w:tcPr>
            <w:tcW w:w="0" w:type="auto"/>
            <w:shd w:val="clear" w:color="auto" w:fill="476D2F"/>
            <w:tcMar>
              <w:top w:w="135" w:type="dxa"/>
              <w:left w:w="135" w:type="dxa"/>
              <w:bottom w:w="135" w:type="dxa"/>
              <w:right w:w="135" w:type="dxa"/>
            </w:tcMar>
            <w:vAlign w:val="center"/>
            <w:hideMark/>
          </w:tcPr>
          <w:p w:rsidR="00645A13" w:rsidRPr="00645A13" w:rsidRDefault="00645A13" w:rsidP="00645A13">
            <w:pPr>
              <w:spacing w:after="0" w:line="240" w:lineRule="auto"/>
              <w:jc w:val="center"/>
              <w:rPr>
                <w:rFonts w:ascii="Times New Roman" w:eastAsia="Times New Roman" w:hAnsi="Times New Roman" w:cs="Times New Roman"/>
                <w:b/>
                <w:bCs/>
                <w:color w:val="FFFFFF"/>
                <w:sz w:val="21"/>
                <w:szCs w:val="21"/>
                <w:lang w:eastAsia="es-CO"/>
              </w:rPr>
            </w:pPr>
            <w:r w:rsidRPr="00645A13">
              <w:rPr>
                <w:rFonts w:ascii="Times New Roman" w:eastAsia="Times New Roman" w:hAnsi="Times New Roman" w:cs="Times New Roman"/>
                <w:b/>
                <w:bCs/>
                <w:color w:val="FFFFFF"/>
                <w:sz w:val="21"/>
                <w:szCs w:val="21"/>
                <w:lang w:eastAsia="es-CO"/>
              </w:rPr>
              <w:t>CONTENIDO</w:t>
            </w:r>
          </w:p>
        </w:tc>
      </w:tr>
      <w:tr w:rsidR="00645A13" w:rsidRPr="00645A13" w:rsidTr="00645A13">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1942</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Acuerdo 20</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Por el cual se aprueba el contrato celebrado entre la Nación y el Municipio de Bogotá</w:t>
            </w:r>
          </w:p>
        </w:tc>
      </w:tr>
      <w:tr w:rsidR="00645A13" w:rsidRPr="00645A13" w:rsidTr="00645A13">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1959</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Acuerdo 15</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 Por el cual se reorganiza la Caja de la Vivienda Popular y se dictan otras disposiciones</w:t>
            </w:r>
          </w:p>
        </w:tc>
      </w:tr>
      <w:tr w:rsidR="00645A13" w:rsidRPr="00645A13" w:rsidTr="00645A13">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1983</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Decreto 3496</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Por el cual se reglamenta parcialmente la ley 14 de 1983. El notario o quien haga sus veces exigirá el certificado catastral y el paz y salvo municipal expedidos por la oficina de catastro o por el Tesorero Municipal según el caso.</w:t>
            </w:r>
          </w:p>
        </w:tc>
      </w:tr>
      <w:tr w:rsidR="00645A13" w:rsidRPr="00645A13" w:rsidTr="00645A13">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1991</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Ley 3</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Por la cual se crea el Sistema Nacional de Vivienda de Interés Social, se establece el subsidio familiar de vivienda, se reforma el Instituto de Crédito Territorial, ICT, y se dictan otras disposiciones. </w:t>
            </w:r>
          </w:p>
        </w:tc>
      </w:tr>
      <w:tr w:rsidR="00645A13" w:rsidRPr="00645A13" w:rsidTr="00645A13">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1991</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Constitución Política de Colombia</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Establece como fines esenciales del Estado entre otros servir a la comunidad, promover la prosperidad general y garantizar la efectividad de los principios, derechos y deberes consagrados en la Constitución; facilitar la participación de todos en las decisiones que los afectan, señalando que las autoridades de la República están instituidas para proteger a todas las personas residentes en Colombia, en su vida, honra, bienes, creencias, y demás derechos y libertades, y para asegurar el cumplimiento de los deberes sociales del Estado y de los particulares. Establece además de los derechos fundamentales, los sociales, económicos y culturales.</w:t>
            </w:r>
          </w:p>
        </w:tc>
      </w:tr>
      <w:tr w:rsidR="00645A13" w:rsidRPr="00645A13" w:rsidTr="00645A13">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1994</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Ley 142</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Régimen de los servicios públicos domiciliarios en Colombia  </w:t>
            </w:r>
          </w:p>
        </w:tc>
      </w:tr>
      <w:tr w:rsidR="00645A13" w:rsidRPr="00645A13" w:rsidTr="00645A13">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1994</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Resolución 541</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Por medio de la cual se regula el cargue, descargue, transporte, almacenamiento y disposición final de escombros, materiales, elementos, concretos y agregados sueltos, de construcción, de demolición y capa orgánica…</w:t>
            </w:r>
          </w:p>
        </w:tc>
      </w:tr>
      <w:tr w:rsidR="00645A13" w:rsidRPr="00645A13" w:rsidTr="00645A13">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1995</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Decreto 2157</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 xml:space="preserve">Para efectos de identificar los inmuebles por sus linderos, se podrá acudir al plano definitivo expedido </w:t>
            </w:r>
            <w:r w:rsidRPr="00645A13">
              <w:rPr>
                <w:rFonts w:ascii="Times New Roman" w:eastAsia="Times New Roman" w:hAnsi="Times New Roman" w:cs="Times New Roman"/>
                <w:sz w:val="24"/>
                <w:szCs w:val="24"/>
                <w:lang w:eastAsia="es-CO"/>
              </w:rPr>
              <w:lastRenderedPageBreak/>
              <w:t>por la autoridad catastral correspondiente resultante de los procesos de información, actualización y conservación catastral, el cual se protocolizará con la escritura pública respectiva </w:t>
            </w:r>
          </w:p>
        </w:tc>
      </w:tr>
      <w:tr w:rsidR="00645A13" w:rsidRPr="00645A13" w:rsidTr="00645A13">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lastRenderedPageBreak/>
              <w:t>1997</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Decreto 357</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Por el cual se regula el manejo, transporte y disposición final de escombros y materiales de construcción</w:t>
            </w:r>
          </w:p>
        </w:tc>
      </w:tr>
      <w:tr w:rsidR="00645A13" w:rsidRPr="00645A13" w:rsidTr="00645A13">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1997</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Ley 388</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Por la cual se modifica la Ley 9 de 1989, y la Ley 2 de 1991 y se dictan otras disposiciones sobre planes de ordenamiento territorial </w:t>
            </w:r>
          </w:p>
        </w:tc>
      </w:tr>
      <w:tr w:rsidR="00645A13" w:rsidRPr="00645A13" w:rsidTr="00645A13">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1997</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Ley 400</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Por el cual se adoptan normas sobre construcciones sismo- resistentes.</w:t>
            </w:r>
          </w:p>
        </w:tc>
      </w:tr>
      <w:tr w:rsidR="00645A13" w:rsidRPr="00645A13" w:rsidTr="00645A13">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1998</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Decreto 540</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Por el cual se reglamentan los artículos 58 de la Ley 9 de 1989 y 95 de la Ley 388 de 1997 en materia de transferencia gratuita de bienes fiscales. </w:t>
            </w:r>
          </w:p>
        </w:tc>
      </w:tr>
      <w:tr w:rsidR="00645A13" w:rsidRPr="00645A13" w:rsidTr="00645A13">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1998</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Decreto 1420</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Avalúos</w:t>
            </w:r>
          </w:p>
        </w:tc>
      </w:tr>
      <w:tr w:rsidR="00645A13" w:rsidRPr="00645A13" w:rsidTr="00645A13">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1999</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Acuerdo 18</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Por el cual se crea la Defensoría del Espacio Público </w:t>
            </w:r>
          </w:p>
        </w:tc>
      </w:tr>
      <w:tr w:rsidR="00645A13" w:rsidRPr="00645A13" w:rsidTr="00645A13">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1999</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Decreto 161</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Por el cual se establece un procedimiento para la titulación de las zonas de cesión obligatoria y gratuita y se dictan otras disposiciones.</w:t>
            </w:r>
          </w:p>
        </w:tc>
      </w:tr>
      <w:tr w:rsidR="00645A13" w:rsidRPr="00645A13" w:rsidTr="00645A13">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2000</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Decreto 823</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Por el cual se modifica el Decreto 161 del 12 de marzo de 1999 y se incluye una nueva presunción para la declaración de propiedad pública sobre las zonas de cesión.  </w:t>
            </w:r>
          </w:p>
        </w:tc>
      </w:tr>
      <w:tr w:rsidR="00645A13" w:rsidRPr="00645A13" w:rsidTr="00645A13">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2000</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Resolución 1096</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Por la cual se adopta el Reglamento Técnico para el sector de Agua Potable y Saneamiento Básico - RAS."</w:t>
            </w:r>
          </w:p>
        </w:tc>
      </w:tr>
      <w:tr w:rsidR="00645A13" w:rsidRPr="00645A13" w:rsidTr="00645A13">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2001</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Ley 716</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Por la cual se expiden normas para el saneamiento de la información contable en el sector público y se dictan disposiciones en materia tributaria y otras disposiciones </w:t>
            </w:r>
          </w:p>
        </w:tc>
      </w:tr>
      <w:tr w:rsidR="00645A13" w:rsidRPr="00645A13" w:rsidTr="00645A13">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2001</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Acto Administrativo</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 xml:space="preserve">Normas de urbanización, planos catastrales, identificación y </w:t>
            </w:r>
            <w:proofErr w:type="spellStart"/>
            <w:r w:rsidRPr="00645A13">
              <w:rPr>
                <w:rFonts w:ascii="Times New Roman" w:eastAsia="Times New Roman" w:hAnsi="Times New Roman" w:cs="Times New Roman"/>
                <w:sz w:val="24"/>
                <w:szCs w:val="24"/>
                <w:lang w:eastAsia="es-CO"/>
              </w:rPr>
              <w:t>alinderación</w:t>
            </w:r>
            <w:proofErr w:type="spellEnd"/>
            <w:r w:rsidRPr="00645A13">
              <w:rPr>
                <w:rFonts w:ascii="Times New Roman" w:eastAsia="Times New Roman" w:hAnsi="Times New Roman" w:cs="Times New Roman"/>
                <w:sz w:val="24"/>
                <w:szCs w:val="24"/>
                <w:lang w:eastAsia="es-CO"/>
              </w:rPr>
              <w:t xml:space="preserve"> de predios segregados y parte restante</w:t>
            </w:r>
          </w:p>
        </w:tc>
      </w:tr>
      <w:tr w:rsidR="00645A13" w:rsidRPr="00645A13" w:rsidTr="00645A13">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2003</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Decreto 296</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 xml:space="preserve">Por el cual se reglamenta el Acuerdo 10 de 2000 y parcialmente los artículos 292, 293 y 294, numeral 3º, del Título II, Subtítulo 4, Capítulo 1, Subcapítulo 4º del Decreto 619 de 2000", Modificado por el decreto 329 de 2006. Plantea las acciones y actividades que se deben realizar para el reasentamiento de población: Censo y diagnóstico socioeconómico, Plan de Gestión Social e </w:t>
            </w:r>
            <w:r w:rsidRPr="00645A13">
              <w:rPr>
                <w:rFonts w:ascii="Times New Roman" w:eastAsia="Times New Roman" w:hAnsi="Times New Roman" w:cs="Times New Roman"/>
                <w:sz w:val="24"/>
                <w:szCs w:val="24"/>
                <w:lang w:eastAsia="es-CO"/>
              </w:rPr>
              <w:lastRenderedPageBreak/>
              <w:t>Intervención, protección y rehabilitación de las zonas intervenidas. Así mismo, señala los componentes del plan de gestión social: social y económico, con las asesorías y factores económicos requeridos para el reasentamiento de población. </w:t>
            </w:r>
          </w:p>
        </w:tc>
      </w:tr>
      <w:tr w:rsidR="00645A13" w:rsidRPr="00645A13" w:rsidTr="00645A13">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lastRenderedPageBreak/>
              <w:t>2003</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Decreto 502</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Por el cual se modifica el Decreto Nº 161 de marzo 12 de 1999, mediante el cual se establece un procedimiento para la titularización de las zonas de cesión obligatorias y gratuitas</w:t>
            </w:r>
          </w:p>
        </w:tc>
      </w:tr>
      <w:tr w:rsidR="00645A13" w:rsidRPr="00645A13" w:rsidTr="00645A13">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2004</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Decreto 190</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Por el cual se dictan las normas urbanísticas del Plan de Ordenamiento de Bogotá D.C. adoptado mediante Decreto Distrital 619 de 2000, revisado por el Decreto Distrital 469 de 2003 y compilado por el Decreto Distrital 190 de 2004. </w:t>
            </w:r>
          </w:p>
        </w:tc>
      </w:tr>
      <w:tr w:rsidR="00645A13" w:rsidRPr="00645A13" w:rsidTr="00645A13">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2004</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Resolución 733</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Por el cual se adopta algunas normas técnicas de la Empresa de Acueducto y alcantarillado de Bogotá - EAAB-ESP</w:t>
            </w:r>
          </w:p>
        </w:tc>
      </w:tr>
      <w:tr w:rsidR="00645A13" w:rsidRPr="00645A13" w:rsidTr="00645A13">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2004</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Resolución 1106</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Por el cual se adopta nuevas normas técnicas de la Empresa de Acueducto y alcantarillado de Bogotá - EAAB-ESP </w:t>
            </w:r>
          </w:p>
        </w:tc>
      </w:tr>
      <w:tr w:rsidR="00645A13" w:rsidRPr="00645A13" w:rsidTr="00645A13">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2004</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Norma Resolución 180398</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Por la cual se expide el reglamento técnico de instalaciones eléctricas – RETIE</w:t>
            </w:r>
          </w:p>
        </w:tc>
      </w:tr>
      <w:tr w:rsidR="00645A13" w:rsidRPr="00645A13" w:rsidTr="00645A13">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2005</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Decreto 838</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Por el cual se modifica el Decreto 1713 de 2002 sobre disposición final de residuos sólidos y se dictan otras disposiciones </w:t>
            </w:r>
          </w:p>
        </w:tc>
      </w:tr>
      <w:tr w:rsidR="00645A13" w:rsidRPr="00645A13" w:rsidTr="00645A13">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2006</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Resolución 227</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Por la cual se adoptan los términos de referencia para la ejecución de estudios detallados de amenaza y riesgo por fenómenos de remoción en masa para proyectos urbanísticos y de construcción de edificaciones en Bogotá D.C</w:t>
            </w:r>
          </w:p>
        </w:tc>
      </w:tr>
      <w:tr w:rsidR="00645A13" w:rsidRPr="00645A13" w:rsidTr="00645A13">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2006</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Resolución 227</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Por la cual se adoptan los términos de referencia para la ejecución de estudios detallados de amenaza y riesgo por fenómenos de remoción en masa para proyectos urbanísticos y de construcción de edificaciones en Bogotá D.C. </w:t>
            </w:r>
          </w:p>
        </w:tc>
      </w:tr>
      <w:tr w:rsidR="00645A13" w:rsidRPr="00645A13" w:rsidTr="00645A13">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2006</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Decreto 564</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Derogado por el art. 138, Decreto Nacional 1469 de 2010, excepto los artículos 122 a 131. Por el cual se reglamentan las disposiciones relativas a las licencias urbanísticas; al reconocimiento de edificaciones, a la legalización de asentamientos humanos constituidos por viviendas de Interés Social, y se expiden otras disposiciones.</w:t>
            </w:r>
          </w:p>
        </w:tc>
      </w:tr>
      <w:tr w:rsidR="00645A13" w:rsidRPr="00645A13" w:rsidTr="00645A13">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lastRenderedPageBreak/>
              <w:t>2006</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Resolución 1166</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Por la cual se expide el Reglamento Técnico que señala los requisitos técnicos que deben cumplir los tubos de acueducto, alcantarillado, los de uso sanitario y los de aguas lluvias y sus accesorios que adquieran las personas prestadoras de los servicios de acueducto y alcantarillado.</w:t>
            </w:r>
          </w:p>
        </w:tc>
      </w:tr>
      <w:tr w:rsidR="00645A13" w:rsidRPr="00645A13" w:rsidTr="00645A13">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2007</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Resolución 560</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Por medio de la cual se revisa y modifica el Manual de Normas y procedimientos que reglamenta lo referente a la adjudicación, asignación y entrega del Valor Único de Reconocimiento (VUR) y se dictan otras disposiciones</w:t>
            </w:r>
          </w:p>
        </w:tc>
      </w:tr>
      <w:tr w:rsidR="00645A13" w:rsidRPr="00645A13" w:rsidTr="00645A13">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2007</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Resolución 4090</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 Por el cual se adopta el Manual de Arborización para Bogotá</w:t>
            </w:r>
          </w:p>
        </w:tc>
      </w:tr>
      <w:tr w:rsidR="00645A13" w:rsidRPr="00645A13" w:rsidTr="00645A13">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2008</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Acuerdo 3</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Por el cual se modifican los Estatutos de La Caja de la Vivienda Popular, Acuerdo 002 de 2001</w:t>
            </w:r>
          </w:p>
        </w:tc>
      </w:tr>
      <w:tr w:rsidR="00645A13" w:rsidRPr="00645A13" w:rsidTr="00645A13">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2008</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Acuerdo 4</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Por el cual se modifica la estructura organizacional de la CAJA DE LA VIVIENDA POPULAR y se determinan las funciones por dependencias </w:t>
            </w:r>
          </w:p>
        </w:tc>
      </w:tr>
      <w:tr w:rsidR="00645A13" w:rsidRPr="00645A13" w:rsidTr="00645A13">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2008</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Decreto 1100</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Derogado por el art. 138, Decreto Nacional 1469 de 2010, excepto el artículo 10 por el cual se modifica el Decreto 564 de 2006 y se dictan otras disposiciones.</w:t>
            </w:r>
          </w:p>
        </w:tc>
      </w:tr>
      <w:tr w:rsidR="00645A13" w:rsidRPr="00645A13" w:rsidTr="00645A13">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2008</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Resolución 1127</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Por el cual se modifican algunas disposiciones de la Resolución 1166 de 2006…</w:t>
            </w:r>
          </w:p>
        </w:tc>
      </w:tr>
      <w:tr w:rsidR="00645A13" w:rsidRPr="00645A13" w:rsidTr="00645A13">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2009</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Acuerdo 418</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Por el cual se promueve la implementación de tecnologías arquitectónicas sustentables, como techos o terrazas verdes, entre otras en el D. C. y se dictan otras disposiciones</w:t>
            </w:r>
          </w:p>
        </w:tc>
      </w:tr>
      <w:tr w:rsidR="00645A13" w:rsidRPr="00645A13" w:rsidTr="00645A13">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2009</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Resolución CVP 195</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Se adopta el plan de enajenación onerosa de la CVP </w:t>
            </w:r>
          </w:p>
        </w:tc>
      </w:tr>
      <w:tr w:rsidR="00645A13" w:rsidRPr="00645A13" w:rsidTr="00645A13">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2010</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Instrucción Administrativa conjunta Instituto Geográfico Agustín Codazzi No.01 y Superintendencia de Notariado y Registro No. 11</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Actualización y /o aclaración para corrección de áreas y/o linderos de inmuebles</w:t>
            </w:r>
          </w:p>
        </w:tc>
      </w:tr>
      <w:tr w:rsidR="00645A13" w:rsidRPr="00645A13" w:rsidTr="00645A13">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2010</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Decreto 523</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Mediante el cual se Fija las zonas geotécnicas y las zonas de respuesta sísmica de Bogotá D.C </w:t>
            </w:r>
          </w:p>
        </w:tc>
      </w:tr>
      <w:tr w:rsidR="00645A13" w:rsidRPr="00645A13" w:rsidTr="00645A13">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2010</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Decreto 926</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Por el cual se establecen los requisitos de carácter técnico y científico para construcciones sismo resistentes NSR-10</w:t>
            </w:r>
          </w:p>
        </w:tc>
      </w:tr>
      <w:tr w:rsidR="00645A13" w:rsidRPr="00645A13" w:rsidTr="00645A13">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2010</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Decreto 1469</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 xml:space="preserve">Por el cual se reglamentan las disposiciones relativas a las licencias urbanísticas; al reconocimiento de edificaciones; a la función pública que desempeñan </w:t>
            </w:r>
            <w:r w:rsidRPr="00645A13">
              <w:rPr>
                <w:rFonts w:ascii="Times New Roman" w:eastAsia="Times New Roman" w:hAnsi="Times New Roman" w:cs="Times New Roman"/>
                <w:sz w:val="24"/>
                <w:szCs w:val="24"/>
                <w:lang w:eastAsia="es-CO"/>
              </w:rPr>
              <w:lastRenderedPageBreak/>
              <w:t>los curadores urbanos y se expiden otras disposiciones </w:t>
            </w:r>
          </w:p>
        </w:tc>
      </w:tr>
      <w:tr w:rsidR="00645A13" w:rsidRPr="00645A13" w:rsidTr="00645A13">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lastRenderedPageBreak/>
              <w:t>2010</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Decreto 2525</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 xml:space="preserve">Por el cual se modifica el Decreto 926 de 2010 y se dictan otras disposiciones en lo referente a la entrada en vigencia el Reglamento Colombiano de Construcción </w:t>
            </w:r>
            <w:proofErr w:type="spellStart"/>
            <w:r w:rsidRPr="00645A13">
              <w:rPr>
                <w:rFonts w:ascii="Times New Roman" w:eastAsia="Times New Roman" w:hAnsi="Times New Roman" w:cs="Times New Roman"/>
                <w:sz w:val="24"/>
                <w:szCs w:val="24"/>
                <w:lang w:eastAsia="es-CO"/>
              </w:rPr>
              <w:t>Sismorresistente</w:t>
            </w:r>
            <w:proofErr w:type="spellEnd"/>
            <w:r w:rsidRPr="00645A13">
              <w:rPr>
                <w:rFonts w:ascii="Times New Roman" w:eastAsia="Times New Roman" w:hAnsi="Times New Roman" w:cs="Times New Roman"/>
                <w:sz w:val="24"/>
                <w:szCs w:val="24"/>
                <w:lang w:eastAsia="es-CO"/>
              </w:rPr>
              <w:t xml:space="preserve"> NSR-10</w:t>
            </w:r>
          </w:p>
        </w:tc>
      </w:tr>
      <w:tr w:rsidR="00645A13" w:rsidRPr="00645A13" w:rsidTr="00645A13">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2011</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Resolución 70</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Por la cual se reglamentan los procesos de formación, actualización de la formación y conservación de Catastro. </w:t>
            </w:r>
          </w:p>
        </w:tc>
      </w:tr>
      <w:tr w:rsidR="00645A13" w:rsidRPr="00645A13" w:rsidTr="00645A13">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2011</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Decreto 92</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hyperlink r:id="rId5" w:anchor="0" w:history="1">
              <w:r w:rsidRPr="00645A13">
                <w:rPr>
                  <w:rFonts w:ascii="Times New Roman" w:eastAsia="Times New Roman" w:hAnsi="Times New Roman" w:cs="Times New Roman"/>
                  <w:color w:val="476D2F"/>
                  <w:sz w:val="24"/>
                  <w:szCs w:val="24"/>
                  <w:u w:val="single"/>
                  <w:lang w:eastAsia="es-CO"/>
                </w:rPr>
                <w:t xml:space="preserve">Por el cual se modifica el Decreto 926 de 2010. Modifica el Reglamento de Construcciones </w:t>
              </w:r>
              <w:proofErr w:type="spellStart"/>
              <w:r w:rsidRPr="00645A13">
                <w:rPr>
                  <w:rFonts w:ascii="Times New Roman" w:eastAsia="Times New Roman" w:hAnsi="Times New Roman" w:cs="Times New Roman"/>
                  <w:color w:val="476D2F"/>
                  <w:sz w:val="24"/>
                  <w:szCs w:val="24"/>
                  <w:u w:val="single"/>
                  <w:lang w:eastAsia="es-CO"/>
                </w:rPr>
                <w:t>Sismorresistentes</w:t>
              </w:r>
              <w:proofErr w:type="spellEnd"/>
              <w:r w:rsidRPr="00645A13">
                <w:rPr>
                  <w:rFonts w:ascii="Times New Roman" w:eastAsia="Times New Roman" w:hAnsi="Times New Roman" w:cs="Times New Roman"/>
                  <w:color w:val="476D2F"/>
                  <w:sz w:val="24"/>
                  <w:szCs w:val="24"/>
                  <w:u w:val="single"/>
                  <w:lang w:eastAsia="es-CO"/>
                </w:rPr>
                <w:t>, NSR- 10, en los ordinales, numerales, literales y párrafos, figuras, tablas, notas, ecuaciones, valores, coeficientes y demás aspectos técnicos</w:t>
              </w:r>
            </w:hyperlink>
          </w:p>
        </w:tc>
      </w:tr>
      <w:tr w:rsidR="00645A13" w:rsidRPr="00645A13" w:rsidTr="00645A13">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2011</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Ley 1450</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Plan de Desarrollo Nacional 2010-2014 </w:t>
            </w:r>
          </w:p>
        </w:tc>
      </w:tr>
      <w:tr w:rsidR="00645A13" w:rsidRPr="00645A13" w:rsidTr="00645A13">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2011</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Ley 1454</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Ley Orgánica de Ordenamiento Territorial</w:t>
            </w:r>
          </w:p>
        </w:tc>
      </w:tr>
      <w:tr w:rsidR="00645A13" w:rsidRPr="00645A13" w:rsidTr="00645A13">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2011</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Decreto 4825</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Por el cual se reglamentan los artículos 2°, 4°, 6° y 7° de la Ley 1001 de 2005 y parcialmente el artículo 90 de la Ley 1151 de 2007, en materia de transferencia gratuita de bienes fiscales urbanos para el desarrollo de programas de vivienda de interés social y se dictan otras disposición </w:t>
            </w:r>
          </w:p>
        </w:tc>
      </w:tr>
      <w:tr w:rsidR="00645A13" w:rsidRPr="00645A13" w:rsidTr="00645A13">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2011</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Resolución 6971</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Por la cual se declaran árboles patrimoniales y de interés público en Bogotá D.C</w:t>
            </w:r>
          </w:p>
        </w:tc>
      </w:tr>
      <w:tr w:rsidR="00645A13" w:rsidRPr="00645A13" w:rsidTr="00645A13">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2012</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Acuerdo 489</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Por el cual se adopta el plan de Desarrollo económico, social, ambiental y de obras públicas para Bogotá D.C. 2012-2016 “Bogotá Humana” </w:t>
            </w:r>
          </w:p>
        </w:tc>
      </w:tr>
      <w:tr w:rsidR="00645A13" w:rsidRPr="00645A13" w:rsidTr="00645A13">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2012</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Decreto 539</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Por el cual se reglamenta el subsidio distrital de vivienda en especie en el marco del Plan de Desarrollo Económico, Social, Ambiental y de Obras Públicas Para Bogotá D.C. 2012 - 2016 - Bogotá Humana.</w:t>
            </w:r>
          </w:p>
        </w:tc>
      </w:tr>
      <w:tr w:rsidR="00645A13" w:rsidRPr="00645A13" w:rsidTr="00645A13">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2012</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Resolución 1115</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 Por medio de la cual se adoptan los lineamientos Técnico - Ambientales para las actividades de aprovechamiento y tratamiento de los residuos de construcción y demolición en el Distrito Capital.</w:t>
            </w:r>
          </w:p>
        </w:tc>
      </w:tr>
      <w:tr w:rsidR="00645A13" w:rsidRPr="00645A13" w:rsidTr="00645A13">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2012</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Ley 1537</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Por la cual se dictan normas tendientes a facilitar y promover el desarrollo urbano y el acceso a la vivienda y se dictan otras disposiciones.</w:t>
            </w:r>
          </w:p>
        </w:tc>
      </w:tr>
      <w:tr w:rsidR="00645A13" w:rsidRPr="00645A13" w:rsidTr="00645A13">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2013</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Resolución 176</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 xml:space="preserve">Por medio de la cual se adopta el reglamento operativo para el otorgamiento del Subsidio Distrital </w:t>
            </w:r>
            <w:r w:rsidRPr="00645A13">
              <w:rPr>
                <w:rFonts w:ascii="Times New Roman" w:eastAsia="Times New Roman" w:hAnsi="Times New Roman" w:cs="Times New Roman"/>
                <w:sz w:val="24"/>
                <w:szCs w:val="24"/>
                <w:lang w:eastAsia="es-CO"/>
              </w:rPr>
              <w:lastRenderedPageBreak/>
              <w:t>de vivienda en Especia para vivienda de Interés Prioritario en el Distrito Capital en el marco del Decreto Distrital 539 de 2012 </w:t>
            </w:r>
          </w:p>
        </w:tc>
      </w:tr>
      <w:tr w:rsidR="00645A13" w:rsidRPr="00645A13" w:rsidTr="00645A13">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lastRenderedPageBreak/>
              <w:t>2013</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Decreto 364</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Por el cual se modifican excepcionalmente las normas urbanísticas del Plan de Ordenamiento de Bogotá D.C., adoptado mediante Decreto 190 de 2004. Actualmente Suspendido</w:t>
            </w:r>
          </w:p>
        </w:tc>
      </w:tr>
      <w:tr w:rsidR="00645A13" w:rsidRPr="00645A13" w:rsidTr="00645A13">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2013</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Resolución 1138</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Por la cual se adopta la guía de manejo ambiental para el sector de la construcción y se toman otras determinaciones </w:t>
            </w:r>
          </w:p>
        </w:tc>
      </w:tr>
      <w:tr w:rsidR="00645A13" w:rsidRPr="00645A13" w:rsidTr="00645A13">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2014</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Decreto 165</w:t>
            </w:r>
          </w:p>
        </w:tc>
        <w:tc>
          <w:tcPr>
            <w:tcW w:w="0" w:type="auto"/>
            <w:shd w:val="clear" w:color="auto" w:fill="auto"/>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"Por medio del cual se reglamenta la transferencia de bienes fiscales a título gratuito para proyectos de vivienda de interés prioritario en el Distrito Capital”</w:t>
            </w:r>
          </w:p>
        </w:tc>
      </w:tr>
      <w:tr w:rsidR="00645A13" w:rsidRPr="00645A13" w:rsidTr="00645A13">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2014</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proofErr w:type="spellStart"/>
            <w:r w:rsidRPr="00645A13">
              <w:rPr>
                <w:rFonts w:ascii="Times New Roman" w:eastAsia="Times New Roman" w:hAnsi="Times New Roman" w:cs="Times New Roman"/>
                <w:sz w:val="24"/>
                <w:szCs w:val="24"/>
                <w:lang w:eastAsia="es-CO"/>
              </w:rPr>
              <w:t>Resolucion</w:t>
            </w:r>
            <w:proofErr w:type="spellEnd"/>
            <w:r w:rsidRPr="00645A13">
              <w:rPr>
                <w:rFonts w:ascii="Times New Roman" w:eastAsia="Times New Roman" w:hAnsi="Times New Roman" w:cs="Times New Roman"/>
                <w:sz w:val="24"/>
                <w:szCs w:val="24"/>
                <w:lang w:eastAsia="es-CO"/>
              </w:rPr>
              <w:t xml:space="preserve"> SDHT 844</w:t>
            </w:r>
          </w:p>
        </w:tc>
        <w:tc>
          <w:tcPr>
            <w:tcW w:w="0" w:type="auto"/>
            <w:shd w:val="clear" w:color="auto" w:fill="F9F9F9"/>
            <w:tcMar>
              <w:top w:w="90" w:type="dxa"/>
              <w:left w:w="90" w:type="dxa"/>
              <w:bottom w:w="90" w:type="dxa"/>
              <w:right w:w="90" w:type="dxa"/>
            </w:tcMar>
            <w:vAlign w:val="center"/>
            <w:hideMark/>
          </w:tcPr>
          <w:p w:rsidR="00645A13" w:rsidRPr="00645A13" w:rsidRDefault="00645A13" w:rsidP="00645A13">
            <w:pPr>
              <w:spacing w:after="0" w:line="240" w:lineRule="auto"/>
              <w:rPr>
                <w:rFonts w:ascii="Times New Roman" w:eastAsia="Times New Roman" w:hAnsi="Times New Roman" w:cs="Times New Roman"/>
                <w:sz w:val="24"/>
                <w:szCs w:val="24"/>
                <w:lang w:eastAsia="es-CO"/>
              </w:rPr>
            </w:pPr>
            <w:r w:rsidRPr="00645A13">
              <w:rPr>
                <w:rFonts w:ascii="Times New Roman" w:eastAsia="Times New Roman" w:hAnsi="Times New Roman" w:cs="Times New Roman"/>
                <w:sz w:val="24"/>
                <w:szCs w:val="24"/>
                <w:lang w:eastAsia="es-CO"/>
              </w:rPr>
              <w:t>Por medio de la cual se adopta el reglamento operativo para el otorgamiento del Subsidio Distrital de vivienda en Especia para vivienda de Interés Prioritario en el Distrito Capital en el marco del Decreto Distrital 539 de 2012 </w:t>
            </w:r>
          </w:p>
        </w:tc>
      </w:tr>
    </w:tbl>
    <w:p w:rsidR="00833595" w:rsidRDefault="00833595">
      <w:bookmarkStart w:id="0" w:name="_GoBack"/>
      <w:bookmarkEnd w:id="0"/>
    </w:p>
    <w:sectPr w:rsidR="008335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A13"/>
    <w:rsid w:val="00645A13"/>
    <w:rsid w:val="008335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45A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4">
    <w:name w:val="heading 4"/>
    <w:basedOn w:val="Normal"/>
    <w:link w:val="Ttulo4Car"/>
    <w:uiPriority w:val="9"/>
    <w:qFormat/>
    <w:rsid w:val="00645A13"/>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45A13"/>
    <w:rPr>
      <w:rFonts w:ascii="Times New Roman" w:eastAsia="Times New Roman" w:hAnsi="Times New Roman" w:cs="Times New Roman"/>
      <w:b/>
      <w:bCs/>
      <w:kern w:val="36"/>
      <w:sz w:val="48"/>
      <w:szCs w:val="48"/>
      <w:lang w:eastAsia="es-CO"/>
    </w:rPr>
  </w:style>
  <w:style w:type="character" w:customStyle="1" w:styleId="Ttulo4Car">
    <w:name w:val="Título 4 Car"/>
    <w:basedOn w:val="Fuentedeprrafopredeter"/>
    <w:link w:val="Ttulo4"/>
    <w:uiPriority w:val="9"/>
    <w:rsid w:val="00645A13"/>
    <w:rPr>
      <w:rFonts w:ascii="Times New Roman" w:eastAsia="Times New Roman" w:hAnsi="Times New Roman" w:cs="Times New Roman"/>
      <w:b/>
      <w:bCs/>
      <w:sz w:val="24"/>
      <w:szCs w:val="24"/>
      <w:lang w:eastAsia="es-CO"/>
    </w:rPr>
  </w:style>
  <w:style w:type="character" w:styleId="Hipervnculo">
    <w:name w:val="Hyperlink"/>
    <w:basedOn w:val="Fuentedeprrafopredeter"/>
    <w:uiPriority w:val="99"/>
    <w:semiHidden/>
    <w:unhideWhenUsed/>
    <w:rsid w:val="00645A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45A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4">
    <w:name w:val="heading 4"/>
    <w:basedOn w:val="Normal"/>
    <w:link w:val="Ttulo4Car"/>
    <w:uiPriority w:val="9"/>
    <w:qFormat/>
    <w:rsid w:val="00645A13"/>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45A13"/>
    <w:rPr>
      <w:rFonts w:ascii="Times New Roman" w:eastAsia="Times New Roman" w:hAnsi="Times New Roman" w:cs="Times New Roman"/>
      <w:b/>
      <w:bCs/>
      <w:kern w:val="36"/>
      <w:sz w:val="48"/>
      <w:szCs w:val="48"/>
      <w:lang w:eastAsia="es-CO"/>
    </w:rPr>
  </w:style>
  <w:style w:type="character" w:customStyle="1" w:styleId="Ttulo4Car">
    <w:name w:val="Título 4 Car"/>
    <w:basedOn w:val="Fuentedeprrafopredeter"/>
    <w:link w:val="Ttulo4"/>
    <w:uiPriority w:val="9"/>
    <w:rsid w:val="00645A13"/>
    <w:rPr>
      <w:rFonts w:ascii="Times New Roman" w:eastAsia="Times New Roman" w:hAnsi="Times New Roman" w:cs="Times New Roman"/>
      <w:b/>
      <w:bCs/>
      <w:sz w:val="24"/>
      <w:szCs w:val="24"/>
      <w:lang w:eastAsia="es-CO"/>
    </w:rPr>
  </w:style>
  <w:style w:type="character" w:styleId="Hipervnculo">
    <w:name w:val="Hyperlink"/>
    <w:basedOn w:val="Fuentedeprrafopredeter"/>
    <w:uiPriority w:val="99"/>
    <w:semiHidden/>
    <w:unhideWhenUsed/>
    <w:rsid w:val="00645A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27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lcaldiabogota.gov.co/sisjur/normas/Norma1.jsp?i=39255"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1709</Words>
  <Characters>9400</Characters>
  <Application>Microsoft Office Word</Application>
  <DocSecurity>0</DocSecurity>
  <Lines>78</Lines>
  <Paragraphs>22</Paragraphs>
  <ScaleCrop>false</ScaleCrop>
  <Company>Hewlett-Packard Company</Company>
  <LinksUpToDate>false</LinksUpToDate>
  <CharactersWithSpaces>11087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 Andres Cendales Mora</dc:creator>
  <cp:lastModifiedBy>Julio Andres Cendales Mora</cp:lastModifiedBy>
  <cp:revision>1</cp:revision>
  <dcterms:created xsi:type="dcterms:W3CDTF">2016-07-05T15:50:00Z</dcterms:created>
  <dcterms:modified xsi:type="dcterms:W3CDTF">2016-07-05T15:50:00Z</dcterms:modified>
</cp:coreProperties>
</file>