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D6" w:rsidRPr="00CC17D6" w:rsidRDefault="00CC17D6" w:rsidP="00CC17D6">
      <w:pPr>
        <w:pBdr>
          <w:bottom w:val="single" w:sz="6" w:space="7" w:color="EEEEEE"/>
        </w:pBdr>
        <w:spacing w:before="300" w:after="450" w:line="240" w:lineRule="auto"/>
        <w:outlineLvl w:val="0"/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</w:pPr>
      <w:r w:rsidRPr="00CC17D6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begin"/>
      </w:r>
      <w:r w:rsidRPr="00CC17D6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instrText xml:space="preserve"> HYPERLINK "http://cajaviviendapopular.gov.co/index.php/normograma-de-transparencia" </w:instrText>
      </w:r>
      <w:r w:rsidRPr="00CC17D6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separate"/>
      </w:r>
      <w:r w:rsidRPr="00CC17D6">
        <w:rPr>
          <w:rFonts w:ascii="inherit" w:eastAsia="Times New Roman" w:hAnsi="inherit" w:cs="Times New Roman"/>
          <w:color w:val="476D2F"/>
          <w:kern w:val="36"/>
          <w:sz w:val="38"/>
          <w:szCs w:val="38"/>
          <w:u w:val="single"/>
          <w:lang w:eastAsia="es-CO"/>
        </w:rPr>
        <w:t>NORMOGRAMA DE TRANSPARENCIA</w:t>
      </w:r>
      <w:r w:rsidRPr="00CC17D6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end"/>
      </w:r>
    </w:p>
    <w:p w:rsidR="00CC17D6" w:rsidRPr="00CC17D6" w:rsidRDefault="00CC17D6" w:rsidP="00CC17D6">
      <w:pPr>
        <w:spacing w:before="150" w:after="150" w:line="300" w:lineRule="atLeast"/>
        <w:outlineLvl w:val="3"/>
        <w:rPr>
          <w:rFonts w:ascii="inherit" w:eastAsia="Times New Roman" w:hAnsi="inherit" w:cs="Times New Roman"/>
          <w:b/>
          <w:bCs/>
          <w:sz w:val="26"/>
          <w:szCs w:val="26"/>
          <w:lang w:eastAsia="es-CO"/>
        </w:rPr>
      </w:pPr>
      <w:r w:rsidRPr="00CC17D6">
        <w:rPr>
          <w:rFonts w:ascii="inherit" w:eastAsia="Times New Roman" w:hAnsi="inherit" w:cs="Times New Roman"/>
          <w:b/>
          <w:bCs/>
          <w:sz w:val="26"/>
          <w:szCs w:val="26"/>
          <w:lang w:eastAsia="es-CO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599"/>
        <w:gridCol w:w="6772"/>
      </w:tblGrid>
      <w:tr w:rsidR="00CC17D6" w:rsidRPr="00CC17D6" w:rsidTr="00CC17D6">
        <w:trPr>
          <w:trHeight w:val="300"/>
        </w:trPr>
        <w:tc>
          <w:tcPr>
            <w:tcW w:w="0" w:type="auto"/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  <w:t>AÑO</w:t>
            </w:r>
          </w:p>
        </w:tc>
        <w:tc>
          <w:tcPr>
            <w:tcW w:w="0" w:type="auto"/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  <w:t>NORMA</w:t>
            </w:r>
          </w:p>
        </w:tc>
        <w:tc>
          <w:tcPr>
            <w:tcW w:w="0" w:type="auto"/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  <w:t>CONTENIDO</w:t>
            </w:r>
          </w:p>
        </w:tc>
      </w:tr>
      <w:tr w:rsidR="00CC17D6" w:rsidRPr="00CC17D6" w:rsidTr="00CC17D6"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Directiva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Implementación de la Política de Servicio al Ciudadano</w:t>
            </w:r>
          </w:p>
        </w:tc>
      </w:tr>
      <w:tr w:rsidR="00CC17D6" w:rsidRPr="00CC17D6" w:rsidTr="00CC17D6"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2006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Decreto 335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Establece que “la Dirección Distrital de Servicio al Ciudadano de la Secretaría General de la Alcaldía Mayor de Bogotá orienta y supervisa el funcionamiento y calidad de los canales de interacción de la Red CADE </w:t>
            </w:r>
          </w:p>
        </w:tc>
      </w:tr>
      <w:tr w:rsidR="00CC17D6" w:rsidRPr="00CC17D6" w:rsidTr="00CC17D6"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Directiva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Secretaría General de la Alcaldía Mayor estableció la figura del defensor del ciudadano en las entidades y organismos distritales, en cumplimiento del literal f) del artículo 48 del Acuerdo 257 de 2006</w:t>
            </w:r>
          </w:p>
        </w:tc>
      </w:tr>
      <w:tr w:rsidR="00CC17D6" w:rsidRPr="00CC17D6" w:rsidTr="00CC17D6"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2008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Circular 50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Implementó la Guía de Servicios y Trámites como un archivo de información de Trámites y Servicios Distritales, que ofrecen las entidades a través de sus páginas Web </w:t>
            </w:r>
          </w:p>
        </w:tc>
      </w:tr>
      <w:tr w:rsidR="00CC17D6" w:rsidRPr="00CC17D6" w:rsidTr="00CC17D6"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Decreto 2623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 crea el Sistema Nacional de Servicio al Ciudadano –SNSC– “como instancia coordinadora para la Administración Pública del Orden Nacional de las políticas</w:t>
            </w:r>
          </w:p>
        </w:tc>
      </w:tr>
      <w:tr w:rsidR="00CC17D6" w:rsidRPr="00CC17D6" w:rsidTr="00CC17D6"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2009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Resolución CVP 3085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Ideario Ético CVP </w:t>
            </w:r>
          </w:p>
        </w:tc>
      </w:tr>
      <w:tr w:rsidR="00CC17D6" w:rsidRPr="00CC17D6" w:rsidTr="00CC17D6"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CONPES 3649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Mediante el cual se establecen los lineamientos generales y el alcance de la Política Nacional de Servicio al Ciudadano.</w:t>
            </w:r>
          </w:p>
        </w:tc>
      </w:tr>
      <w:tr w:rsidR="00CC17D6" w:rsidRPr="00CC17D6" w:rsidTr="00CC17D6"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2010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Decreto 371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Decreto Distrital 371 de 2010, por medio del cual “se establecieron lineamientos para preservar y fortalecer la transparencia y para la prevención de la corrupción en las entidades y organismos del distrito capital” </w:t>
            </w:r>
          </w:p>
        </w:tc>
      </w:tr>
      <w:tr w:rsidR="00CC17D6" w:rsidRPr="00CC17D6" w:rsidTr="00CC17D6"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Resolución </w:t>
            </w:r>
            <w:proofErr w:type="spellStart"/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Secretría</w:t>
            </w:r>
            <w:proofErr w:type="spellEnd"/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General 321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Política Pública Distrital de Servicio a la ciudadanía, de conformidad con lo establecido</w:t>
            </w:r>
          </w:p>
        </w:tc>
      </w:tr>
      <w:tr w:rsidR="00CC17D6" w:rsidRPr="00CC17D6" w:rsidTr="00CC17D6"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2011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Decreto 503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“Por el cual se adopta la Política Pública de Participación Incidente para el Distrito </w:t>
            </w:r>
            <w:proofErr w:type="spellStart"/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CapitalEn</w:t>
            </w:r>
            <w:proofErr w:type="spellEnd"/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el marco del Decreto 168 de 2007, la entidad incorpora en su orientación el Ideario Ético del Distrito, el cual proporciona el marco de referencia de los principios y valores éticos para la función pública en el Distrito Capital. Este documento es adoptado por la Caja de la Vivienda Popular, mediante la resolución 3085 de 2009 </w:t>
            </w:r>
          </w:p>
        </w:tc>
      </w:tr>
      <w:tr w:rsidR="00CC17D6" w:rsidRPr="00CC17D6" w:rsidTr="00CC17D6"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Decreto 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Adopta la “Guía para la Formulación, Implementación y Evaluación de Políticas Públicas Distritales</w:t>
            </w:r>
          </w:p>
        </w:tc>
      </w:tr>
      <w:tr w:rsidR="00CC17D6" w:rsidRPr="00CC17D6" w:rsidTr="00CC17D6"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>2011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Ley 1474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Estatuto Anticorrupción, “Por la cual se dictan normas orientadas a fortalecer los mecanismos de prevención, investigación y sanción de actos de corrupción y la efectividad del control de la gestión pública”. </w:t>
            </w:r>
          </w:p>
        </w:tc>
      </w:tr>
      <w:tr w:rsidR="00CC17D6" w:rsidRPr="00CC17D6" w:rsidTr="00CC17D6"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Acuerdo 489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Por el cual se adopta el plan de Desarrollo económico, social, ambiental y de obras públicas para Bogotá D.C. 2012-2016 “Bogotá Humana”</w:t>
            </w:r>
          </w:p>
        </w:tc>
      </w:tr>
      <w:tr w:rsidR="00CC17D6" w:rsidRPr="00CC17D6" w:rsidTr="00CC17D6"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2012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Decreto 2641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Decreto nacional 2641 de 2012, “Por el cual se reglamentan los artículos 73 y 76 de la Ley 1474 de 2011”, cuyo artículo 1º dispone: “Señálese como metodología para diseñar y hacer seguimiento a la estrategia de lucha contra la corrupción y de atención al ciudadano de que trata el artículo 73 de la Ley 1474 de 2011, la establecida en el Plan Anticorrupción y de Atención al Ciudadano contenida en el documento "Estrategias para la Construcción del Plan Anticorrupción y de Atención al Ciudadano". </w:t>
            </w:r>
          </w:p>
        </w:tc>
      </w:tr>
      <w:tr w:rsidR="00CC17D6" w:rsidRPr="00CC17D6" w:rsidTr="00CC17D6"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Decreto 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Decreto </w:t>
            </w:r>
            <w:proofErr w:type="spellStart"/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Antitrámites</w:t>
            </w:r>
            <w:proofErr w:type="spellEnd"/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- “Por el cual se dictan normas para suprimir o reformar regulaciones, procedimientos y trámites innecesarios existentes en la Administración Pública”</w:t>
            </w:r>
          </w:p>
        </w:tc>
      </w:tr>
      <w:tr w:rsidR="00CC17D6" w:rsidRPr="00CC17D6" w:rsidTr="00CC17D6"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2013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Acuerdo 529</w:t>
            </w:r>
          </w:p>
        </w:tc>
        <w:tc>
          <w:tcPr>
            <w:tcW w:w="0" w:type="auto"/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Adopta medidas para la atención digna, cálida y decorosa a la ciudadanía.</w:t>
            </w:r>
          </w:p>
        </w:tc>
      </w:tr>
      <w:tr w:rsidR="00CC17D6" w:rsidRPr="00CC17D6" w:rsidTr="00CC17D6"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CONPES 3785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C17D6" w:rsidRPr="00CC17D6" w:rsidRDefault="00CC17D6" w:rsidP="00CC1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C17D6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Mediante el cual se implementa el Modelo de Gestión Pública Eficiente al Servicio del Ciudadano</w:t>
            </w:r>
          </w:p>
        </w:tc>
      </w:tr>
    </w:tbl>
    <w:p w:rsidR="00833595" w:rsidRDefault="00833595">
      <w:bookmarkStart w:id="0" w:name="_GoBack"/>
      <w:bookmarkEnd w:id="0"/>
    </w:p>
    <w:sectPr w:rsidR="0083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D6"/>
    <w:rsid w:val="00833595"/>
    <w:rsid w:val="00CC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C1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4">
    <w:name w:val="heading 4"/>
    <w:basedOn w:val="Normal"/>
    <w:link w:val="Ttulo4Car"/>
    <w:uiPriority w:val="9"/>
    <w:qFormat/>
    <w:rsid w:val="00CC17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17D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C17D6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C17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C1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4">
    <w:name w:val="heading 4"/>
    <w:basedOn w:val="Normal"/>
    <w:link w:val="Ttulo4Car"/>
    <w:uiPriority w:val="9"/>
    <w:qFormat/>
    <w:rsid w:val="00CC17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17D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C17D6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C1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Andres Cendales Mora</dc:creator>
  <cp:lastModifiedBy>Julio Andres Cendales Mora</cp:lastModifiedBy>
  <cp:revision>1</cp:revision>
  <dcterms:created xsi:type="dcterms:W3CDTF">2016-07-05T15:50:00Z</dcterms:created>
  <dcterms:modified xsi:type="dcterms:W3CDTF">2016-07-05T15:50:00Z</dcterms:modified>
</cp:coreProperties>
</file>