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charts/chart17.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footer3.xml" ContentType="application/vnd.openxmlformats-officedocument.wordprocessingml.footer+xml"/>
  <Override PartName="/word/charts/chart22.xml" ContentType="application/vnd.openxmlformats-officedocument.drawingml.chart+xml"/>
  <Override PartName="/word/drawings/drawing1.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00E8" w:rsidRPr="00CC51E2" w:rsidRDefault="006800E8" w:rsidP="006800E8">
      <w:pPr>
        <w:spacing w:after="0" w:line="240" w:lineRule="auto"/>
        <w:jc w:val="center"/>
        <w:rPr>
          <w:rFonts w:ascii="Arial" w:hAnsi="Arial" w:cs="Arial"/>
          <w:sz w:val="20"/>
          <w:szCs w:val="20"/>
          <w:lang w:val="es-ES"/>
        </w:rPr>
      </w:pPr>
      <w:bookmarkStart w:id="0" w:name="_Hlk488223587"/>
      <w:bookmarkEnd w:id="0"/>
    </w:p>
    <w:p w:rsidR="00486323" w:rsidRPr="00CC51E2" w:rsidRDefault="00486323" w:rsidP="00450674">
      <w:pPr>
        <w:spacing w:after="0" w:line="240" w:lineRule="auto"/>
        <w:jc w:val="center"/>
        <w:rPr>
          <w:rFonts w:ascii="Arial" w:hAnsi="Arial" w:cs="Arial"/>
          <w:b/>
          <w:sz w:val="20"/>
          <w:szCs w:val="20"/>
          <w:lang w:val="es-ES"/>
        </w:rPr>
      </w:pPr>
    </w:p>
    <w:p w:rsidR="00AE0C9B" w:rsidRPr="001E7FD9" w:rsidRDefault="00AE0C9B" w:rsidP="00AE0C9B">
      <w:pPr>
        <w:jc w:val="center"/>
        <w:rPr>
          <w:rFonts w:ascii="Arial" w:hAnsi="Arial" w:cs="Arial"/>
          <w:b/>
          <w:color w:val="1F497D" w:themeColor="text2"/>
          <w:sz w:val="40"/>
          <w:szCs w:val="20"/>
        </w:rPr>
      </w:pPr>
      <w:r w:rsidRPr="001E7FD9">
        <w:rPr>
          <w:rFonts w:ascii="Arial" w:hAnsi="Arial" w:cs="Arial"/>
          <w:b/>
          <w:color w:val="1F497D" w:themeColor="text2"/>
          <w:sz w:val="40"/>
          <w:szCs w:val="20"/>
        </w:rPr>
        <w:t>INFORME DE RENDICIÓN DE CUENTAS 2017</w:t>
      </w:r>
    </w:p>
    <w:p w:rsidR="00AE0C9B" w:rsidRPr="001E7FD9" w:rsidRDefault="00AE0C9B" w:rsidP="00AE0C9B">
      <w:pPr>
        <w:jc w:val="center"/>
        <w:rPr>
          <w:rFonts w:ascii="Arial" w:hAnsi="Arial" w:cs="Arial"/>
          <w:b/>
          <w:color w:val="1F497D" w:themeColor="text2"/>
          <w:sz w:val="40"/>
          <w:szCs w:val="20"/>
        </w:rPr>
      </w:pPr>
    </w:p>
    <w:p w:rsidR="00AE0C9B" w:rsidRPr="001E7FD9" w:rsidRDefault="00AE0C9B" w:rsidP="00AE0C9B">
      <w:pPr>
        <w:jc w:val="center"/>
        <w:rPr>
          <w:rFonts w:ascii="Arial" w:hAnsi="Arial" w:cs="Arial"/>
          <w:b/>
          <w:color w:val="1F497D" w:themeColor="text2"/>
          <w:sz w:val="40"/>
          <w:szCs w:val="20"/>
        </w:rPr>
      </w:pPr>
    </w:p>
    <w:p w:rsidR="00AE0C9B"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 xml:space="preserve">BALANCE DE RESULTADOS </w:t>
      </w:r>
    </w:p>
    <w:p w:rsidR="001E7FD9"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PLAN DE DESARROLLO DISTRITAL</w:t>
      </w:r>
    </w:p>
    <w:p w:rsidR="002B0B09"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 xml:space="preserve"> 2016 - 2020 </w:t>
      </w:r>
    </w:p>
    <w:p w:rsidR="00AE0C9B" w:rsidRPr="001E7FD9" w:rsidRDefault="001E7FD9"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“BOGOTÁ MEJOR PARA TODOS</w:t>
      </w:r>
      <w:r w:rsidR="00AE0C9B"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w:t>
      </w:r>
    </w:p>
    <w:p w:rsidR="00AE0C9B"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p>
    <w:p w:rsidR="00AE0C9B" w:rsidRPr="001E7FD9" w:rsidRDefault="00AE0C9B" w:rsidP="00AE0C9B">
      <w:pPr>
        <w:jc w:val="center"/>
        <w:rPr>
          <w:rFonts w:ascii="Arial" w:hAnsi="Arial" w:cs="Arial"/>
          <w:b/>
          <w:color w:val="1F497D" w:themeColor="text2"/>
          <w:sz w:val="32"/>
          <w:szCs w:val="20"/>
        </w:rPr>
      </w:pPr>
    </w:p>
    <w:p w:rsidR="00AE0C9B" w:rsidRPr="001E7FD9" w:rsidRDefault="00AE0C9B" w:rsidP="00AE0C9B">
      <w:pPr>
        <w:jc w:val="center"/>
        <w:rPr>
          <w:rFonts w:ascii="Arial" w:hAnsi="Arial" w:cs="Arial"/>
          <w:b/>
          <w:color w:val="1F497D" w:themeColor="text2"/>
          <w:sz w:val="32"/>
          <w:szCs w:val="20"/>
        </w:rPr>
      </w:pPr>
    </w:p>
    <w:p w:rsidR="00AE0C9B" w:rsidRPr="001E7FD9" w:rsidRDefault="00AE0C9B" w:rsidP="00AE0C9B">
      <w:pPr>
        <w:jc w:val="center"/>
        <w:rPr>
          <w:rFonts w:ascii="Arial" w:hAnsi="Arial" w:cs="Arial"/>
          <w:b/>
          <w:color w:val="1F497D" w:themeColor="text2"/>
          <w:sz w:val="24"/>
          <w:szCs w:val="20"/>
        </w:rPr>
      </w:pPr>
      <w:r w:rsidRPr="001E7FD9">
        <w:rPr>
          <w:rFonts w:ascii="Arial" w:hAnsi="Arial" w:cs="Arial"/>
          <w:b/>
          <w:color w:val="1F497D" w:themeColor="text2"/>
          <w:sz w:val="24"/>
          <w:szCs w:val="20"/>
        </w:rPr>
        <w:t xml:space="preserve">Bogotá D. C., </w:t>
      </w:r>
      <w:r w:rsidR="000131AC" w:rsidRPr="001E7FD9">
        <w:rPr>
          <w:rFonts w:ascii="Arial" w:hAnsi="Arial" w:cs="Arial"/>
          <w:b/>
          <w:color w:val="1F497D" w:themeColor="text2"/>
          <w:sz w:val="24"/>
          <w:szCs w:val="20"/>
        </w:rPr>
        <w:t xml:space="preserve">30 </w:t>
      </w:r>
      <w:r w:rsidRPr="001E7FD9">
        <w:rPr>
          <w:rFonts w:ascii="Arial" w:hAnsi="Arial" w:cs="Arial"/>
          <w:b/>
          <w:color w:val="1F497D" w:themeColor="text2"/>
          <w:sz w:val="24"/>
          <w:szCs w:val="20"/>
        </w:rPr>
        <w:t xml:space="preserve">de </w:t>
      </w:r>
      <w:r w:rsidR="000131AC" w:rsidRPr="001E7FD9">
        <w:rPr>
          <w:rFonts w:ascii="Arial" w:hAnsi="Arial" w:cs="Arial"/>
          <w:b/>
          <w:color w:val="1F497D" w:themeColor="text2"/>
          <w:sz w:val="24"/>
          <w:szCs w:val="20"/>
        </w:rPr>
        <w:t xml:space="preserve">Noviembre </w:t>
      </w:r>
      <w:r w:rsidRPr="001E7FD9">
        <w:rPr>
          <w:rFonts w:ascii="Arial" w:hAnsi="Arial" w:cs="Arial"/>
          <w:b/>
          <w:color w:val="1F497D" w:themeColor="text2"/>
          <w:sz w:val="24"/>
          <w:szCs w:val="20"/>
        </w:rPr>
        <w:t>de 2017</w:t>
      </w:r>
    </w:p>
    <w:p w:rsidR="00486323" w:rsidRPr="00CC51E2" w:rsidRDefault="00486323" w:rsidP="00AE0C9B">
      <w:pPr>
        <w:spacing w:after="0" w:line="240" w:lineRule="auto"/>
        <w:jc w:val="center"/>
        <w:rPr>
          <w:rFonts w:ascii="Arial" w:hAnsi="Arial" w:cs="Arial"/>
          <w:b/>
          <w:sz w:val="20"/>
          <w:szCs w:val="20"/>
          <w:lang w:val="es-ES"/>
        </w:rPr>
      </w:pPr>
    </w:p>
    <w:p w:rsidR="00381614" w:rsidRPr="00CC51E2" w:rsidRDefault="00381614" w:rsidP="00311CEC">
      <w:pPr>
        <w:spacing w:line="240" w:lineRule="auto"/>
        <w:jc w:val="center"/>
        <w:rPr>
          <w:rFonts w:ascii="Arial" w:hAnsi="Arial" w:cs="Arial"/>
          <w:b/>
          <w:sz w:val="20"/>
          <w:szCs w:val="20"/>
        </w:rPr>
      </w:pPr>
      <w:bookmarkStart w:id="1" w:name="_Hlk497812550"/>
      <w:bookmarkEnd w:id="1"/>
    </w:p>
    <w:p w:rsidR="00E65F0D" w:rsidRPr="00CC51E2" w:rsidRDefault="00E65F0D" w:rsidP="00311CEC">
      <w:pPr>
        <w:spacing w:line="240" w:lineRule="auto"/>
        <w:jc w:val="center"/>
        <w:rPr>
          <w:rFonts w:ascii="Arial" w:hAnsi="Arial" w:cs="Arial"/>
          <w:b/>
          <w:sz w:val="20"/>
          <w:szCs w:val="20"/>
        </w:rPr>
      </w:pPr>
    </w:p>
    <w:p w:rsidR="007C032F" w:rsidRDefault="007C032F">
      <w:pPr>
        <w:spacing w:after="0" w:line="240" w:lineRule="auto"/>
        <w:rPr>
          <w:rFonts w:ascii="Arial" w:hAnsi="Arial" w:cs="Arial"/>
          <w:b/>
          <w:sz w:val="20"/>
          <w:szCs w:val="20"/>
        </w:rPr>
      </w:pPr>
      <w:r>
        <w:rPr>
          <w:rFonts w:ascii="Arial" w:hAnsi="Arial" w:cs="Arial"/>
          <w:b/>
          <w:sz w:val="20"/>
          <w:szCs w:val="20"/>
        </w:rPr>
        <w:br w:type="page"/>
      </w:r>
    </w:p>
    <w:p w:rsidR="00912591" w:rsidRDefault="00912591" w:rsidP="00BF6199">
      <w:pPr>
        <w:spacing w:line="240" w:lineRule="auto"/>
        <w:jc w:val="center"/>
        <w:rPr>
          <w:rFonts w:ascii="Arial" w:hAnsi="Arial" w:cs="Arial"/>
          <w:b/>
          <w:sz w:val="20"/>
          <w:szCs w:val="20"/>
        </w:rPr>
      </w:pPr>
    </w:p>
    <w:p w:rsidR="00BF6199" w:rsidRPr="00CC51E2" w:rsidRDefault="00BF6199" w:rsidP="00BF6199">
      <w:pPr>
        <w:spacing w:line="240" w:lineRule="auto"/>
        <w:jc w:val="center"/>
        <w:rPr>
          <w:rFonts w:ascii="Arial" w:hAnsi="Arial" w:cs="Arial"/>
          <w:b/>
          <w:sz w:val="20"/>
          <w:szCs w:val="20"/>
        </w:rPr>
      </w:pPr>
      <w:bookmarkStart w:id="2" w:name="_GoBack"/>
      <w:bookmarkEnd w:id="2"/>
      <w:r w:rsidRPr="00CC51E2">
        <w:rPr>
          <w:rFonts w:ascii="Arial" w:hAnsi="Arial" w:cs="Arial"/>
          <w:b/>
          <w:sz w:val="20"/>
          <w:szCs w:val="20"/>
        </w:rPr>
        <w:t>INFORME DE RENDICIÓN DE CUENTAS 2017</w:t>
      </w:r>
    </w:p>
    <w:p w:rsidR="00BF6199" w:rsidRPr="00CC51E2" w:rsidRDefault="00BF6199" w:rsidP="00BF619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BF6199" w:rsidRDefault="00BF6199" w:rsidP="00BF619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BF6199" w:rsidRPr="00CC51E2" w:rsidRDefault="00BF6199" w:rsidP="00BF6199">
      <w:pPr>
        <w:spacing w:line="240" w:lineRule="auto"/>
        <w:jc w:val="center"/>
        <w:rPr>
          <w:rFonts w:ascii="Arial" w:hAnsi="Arial" w:cs="Arial"/>
          <w:b/>
          <w:sz w:val="20"/>
          <w:szCs w:val="20"/>
        </w:rPr>
      </w:pPr>
    </w:p>
    <w:p w:rsidR="00BF6199" w:rsidRPr="00CC51E2" w:rsidRDefault="00BF6199" w:rsidP="00BF6199">
      <w:pPr>
        <w:spacing w:after="0"/>
        <w:jc w:val="center"/>
        <w:rPr>
          <w:rFonts w:ascii="Arial" w:hAnsi="Arial" w:cs="Arial"/>
          <w:b/>
          <w:sz w:val="20"/>
          <w:szCs w:val="20"/>
        </w:rPr>
      </w:pPr>
      <w:r w:rsidRPr="00CC51E2">
        <w:rPr>
          <w:rFonts w:ascii="Arial" w:hAnsi="Arial" w:cs="Arial"/>
          <w:b/>
          <w:sz w:val="20"/>
          <w:szCs w:val="20"/>
        </w:rPr>
        <w:t>DIRE</w:t>
      </w:r>
      <w:r>
        <w:rPr>
          <w:rFonts w:ascii="Arial" w:hAnsi="Arial" w:cs="Arial"/>
          <w:b/>
          <w:sz w:val="20"/>
          <w:szCs w:val="20"/>
        </w:rPr>
        <w:t>CCIÓN DE MEJORAMIENTO DE VIVIENDA</w:t>
      </w:r>
      <w:r w:rsidRPr="00CC51E2">
        <w:rPr>
          <w:rFonts w:ascii="Arial" w:hAnsi="Arial" w:cs="Arial"/>
          <w:b/>
          <w:sz w:val="20"/>
          <w:szCs w:val="20"/>
        </w:rPr>
        <w:t xml:space="preserve"> </w:t>
      </w:r>
    </w:p>
    <w:p w:rsidR="00BF6199" w:rsidRPr="00CC51E2" w:rsidRDefault="00BF6199" w:rsidP="00BF6199">
      <w:pPr>
        <w:spacing w:after="0"/>
        <w:jc w:val="both"/>
        <w:rPr>
          <w:rFonts w:ascii="Arial" w:hAnsi="Arial" w:cs="Arial"/>
          <w:b/>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PROYECTO DE INVERSIÓN 7328 – MEJORAMIENTO DE VIVIENDA EN SUS CONDICIONES FISICAS Y DE HABITABILIDAD EN LOS ASENTAMIENTOS HUMANOS PRIORIZADOS EN ÁREA URBANA Y RURAL.</w:t>
      </w:r>
    </w:p>
    <w:p w:rsidR="00BF6199" w:rsidRPr="00CC51E2" w:rsidRDefault="00BF6199" w:rsidP="00BF6199">
      <w:pPr>
        <w:spacing w:after="0"/>
        <w:jc w:val="both"/>
        <w:rPr>
          <w:rFonts w:ascii="Arial" w:hAnsi="Arial" w:cs="Arial"/>
          <w:b/>
          <w:color w:val="000000"/>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Pilar: 02 – </w:t>
      </w:r>
      <w:r w:rsidRPr="00CC51E2">
        <w:rPr>
          <w:rFonts w:ascii="Arial" w:hAnsi="Arial" w:cs="Arial"/>
          <w:sz w:val="20"/>
          <w:szCs w:val="20"/>
        </w:rPr>
        <w:t>Democracia Urbana</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Programa: 14 – </w:t>
      </w:r>
      <w:r w:rsidRPr="00CC51E2">
        <w:rPr>
          <w:rFonts w:ascii="Arial" w:hAnsi="Arial" w:cs="Arial"/>
          <w:sz w:val="20"/>
          <w:szCs w:val="20"/>
        </w:rPr>
        <w:t>Intervenciones integrales del Hábitat</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Proyecto Estratégico: 134 </w:t>
      </w:r>
      <w:r w:rsidRPr="00CC51E2">
        <w:rPr>
          <w:rFonts w:ascii="Arial" w:hAnsi="Arial" w:cs="Arial"/>
          <w:sz w:val="20"/>
          <w:szCs w:val="20"/>
        </w:rPr>
        <w:t>- Intervenciones integrales del Hábitat</w:t>
      </w:r>
    </w:p>
    <w:p w:rsidR="00BF6199" w:rsidRPr="00CC51E2" w:rsidRDefault="00BF6199" w:rsidP="00BF6199">
      <w:pPr>
        <w:spacing w:after="0"/>
        <w:jc w:val="both"/>
        <w:rPr>
          <w:rFonts w:ascii="Arial" w:hAnsi="Arial" w:cs="Arial"/>
          <w:b/>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INTRODUCCIÓN</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La Dirección de Mejoramiento de Vivienda, dentro del contexto de su misionalidad se encarga de asistir técnica, social y financieramente a los beneficiarios del Subsidio Distrital de Vivienda en Especie otorgado por la Secretaria Distrital del Hábitat (SDHT) en las condiciones de habitabilidad. Dentro de la asistencia técnica realizada, se informa y sensibiliza a las familias acerca de la importancia construir acatando las disposiciones normativas.</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Adicionalmente los profesionales de la Dirección, se encargan de brindar el acompañamiento técnico y social a las familias para realizar los trámites necesarios para la consecución de una licencia de construcción y/o acto de reconocimiento.</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Estas actividades desarrolladas, tiene como finalidad mejorar las condiciones de habitabilidad de las viviendas de los ciudadanos de estratos 1 y 2, localizados en las Unidades de Planeamiento Zonal (UPZ) de Mejoramiento Integral y en las Unidades de Planeamiento Rural (UPR) de las áreas priorizadas por la Secretaria Distrital del Hábitat, con el fin de garantizar el derecho a una vivienda digna.</w:t>
      </w:r>
    </w:p>
    <w:p w:rsidR="00BF6199" w:rsidRDefault="00BF6199" w:rsidP="00BF6199">
      <w:pPr>
        <w:jc w:val="center"/>
        <w:rPr>
          <w:rFonts w:ascii="Arial" w:hAnsi="Arial" w:cs="Arial"/>
          <w:b/>
          <w:noProof/>
          <w:sz w:val="20"/>
          <w:szCs w:val="20"/>
          <w:lang w:eastAsia="es-CO"/>
        </w:rPr>
      </w:pPr>
    </w:p>
    <w:p w:rsidR="00BF6199" w:rsidRPr="00CC51E2" w:rsidRDefault="00BF6199" w:rsidP="00BF6199">
      <w:pPr>
        <w:jc w:val="center"/>
        <w:rPr>
          <w:rFonts w:ascii="Arial" w:hAnsi="Arial" w:cs="Arial"/>
          <w:b/>
          <w:sz w:val="20"/>
          <w:szCs w:val="20"/>
        </w:rPr>
      </w:pPr>
      <w:r w:rsidRPr="00CC51E2">
        <w:rPr>
          <w:rFonts w:ascii="Arial" w:hAnsi="Arial" w:cs="Arial"/>
          <w:b/>
          <w:noProof/>
          <w:sz w:val="20"/>
          <w:szCs w:val="20"/>
          <w:lang w:eastAsia="es-CO"/>
        </w:rPr>
        <w:t xml:space="preserve">RESUMEN EJECUTIVO </w:t>
      </w:r>
      <w:r w:rsidRPr="00CC51E2">
        <w:rPr>
          <w:rFonts w:ascii="Arial" w:hAnsi="Arial" w:cs="Arial"/>
          <w:b/>
          <w:sz w:val="20"/>
          <w:szCs w:val="20"/>
        </w:rPr>
        <w:t>GESTION DE LA DIRECCION – VIGENCIA 2016 – 2017</w:t>
      </w:r>
    </w:p>
    <w:p w:rsidR="00BF6199" w:rsidRDefault="00BF6199" w:rsidP="00BF6199">
      <w:pPr>
        <w:jc w:val="both"/>
        <w:rPr>
          <w:rFonts w:ascii="Arial" w:hAnsi="Arial" w:cs="Arial"/>
          <w:sz w:val="20"/>
          <w:szCs w:val="20"/>
        </w:rPr>
      </w:pPr>
      <w:bookmarkStart w:id="3" w:name="_Toc432750481"/>
      <w:bookmarkStart w:id="4" w:name="_Toc393899079"/>
      <w:r w:rsidRPr="00CC51E2">
        <w:rPr>
          <w:rFonts w:ascii="Arial" w:hAnsi="Arial" w:cs="Arial"/>
          <w:sz w:val="20"/>
          <w:szCs w:val="20"/>
        </w:rPr>
        <w:t>En el marco de las intervenciones Integrales del Hábitat del  Plan de Desarrollo “Bogotá Mejor para Todos”, la Caja de la Vivienda Popular busca 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rsidR="00BF6199" w:rsidRPr="00CC51E2" w:rsidRDefault="00BF6199" w:rsidP="00BF6199">
      <w:pPr>
        <w:jc w:val="both"/>
        <w:rPr>
          <w:rFonts w:ascii="Arial" w:hAnsi="Arial" w:cs="Arial"/>
          <w:sz w:val="20"/>
          <w:szCs w:val="20"/>
        </w:rPr>
      </w:pPr>
    </w:p>
    <w:p w:rsidR="00BF6199" w:rsidRPr="00CC51E2" w:rsidRDefault="00BF6199" w:rsidP="00BF6199">
      <w:pPr>
        <w:rPr>
          <w:rFonts w:ascii="Arial" w:hAnsi="Arial" w:cs="Arial"/>
          <w:b/>
          <w:sz w:val="20"/>
          <w:szCs w:val="20"/>
          <w:lang w:eastAsia="es-ES"/>
        </w:rPr>
      </w:pPr>
      <w:r w:rsidRPr="00CC51E2">
        <w:rPr>
          <w:rFonts w:ascii="Arial" w:hAnsi="Arial" w:cs="Arial"/>
          <w:b/>
          <w:sz w:val="20"/>
          <w:szCs w:val="20"/>
          <w:lang w:eastAsia="es-ES"/>
        </w:rPr>
        <w:t>EJECUCION PRESUPUESTAL VIGENCIA 2016</w:t>
      </w:r>
    </w:p>
    <w:p w:rsidR="00BF6199" w:rsidRPr="00CC51E2" w:rsidRDefault="00BF6199" w:rsidP="00BF6199">
      <w:pPr>
        <w:jc w:val="both"/>
        <w:rPr>
          <w:rFonts w:ascii="Arial" w:hAnsi="Arial" w:cs="Arial"/>
          <w:sz w:val="20"/>
          <w:szCs w:val="20"/>
        </w:rPr>
      </w:pPr>
      <w:r w:rsidRPr="00CC51E2">
        <w:rPr>
          <w:rFonts w:ascii="Arial" w:hAnsi="Arial" w:cs="Arial"/>
          <w:sz w:val="20"/>
          <w:szCs w:val="20"/>
        </w:rPr>
        <w:t>Según el Proyecto de Inversión P.I. 7328 - 175 “</w:t>
      </w:r>
      <w:r w:rsidRPr="00CC51E2">
        <w:rPr>
          <w:rFonts w:ascii="Arial" w:hAnsi="Arial" w:cs="Arial"/>
          <w:i/>
          <w:sz w:val="20"/>
          <w:szCs w:val="20"/>
        </w:rPr>
        <w:t>Mejoramiento de vivienda en sus condiciones físicas y de habitabilidad en los asentamientos humanos priorizados en área urbana y rural</w:t>
      </w:r>
      <w:r w:rsidRPr="00CC51E2">
        <w:rPr>
          <w:rFonts w:ascii="Arial" w:hAnsi="Arial" w:cs="Arial"/>
          <w:sz w:val="20"/>
          <w:szCs w:val="20"/>
        </w:rPr>
        <w:t>”, al cierre del Plan de Desarrollo 2012-2016 “</w:t>
      </w:r>
      <w:r w:rsidRPr="00CC51E2">
        <w:rPr>
          <w:rFonts w:ascii="Arial" w:hAnsi="Arial" w:cs="Arial"/>
          <w:i/>
          <w:sz w:val="20"/>
          <w:szCs w:val="20"/>
        </w:rPr>
        <w:t>Bogotá Humana</w:t>
      </w:r>
      <w:r w:rsidRPr="00CC51E2">
        <w:rPr>
          <w:rFonts w:ascii="Arial" w:hAnsi="Arial" w:cs="Arial"/>
          <w:sz w:val="20"/>
          <w:szCs w:val="20"/>
        </w:rPr>
        <w:t>” en la vigencia 2016 se contaba con recursos disponibles por valor de $2.265.000.000 para ser incorporados en el nuevo Plan de Desarrollo 2016-2020 “</w:t>
      </w:r>
      <w:r w:rsidRPr="00CC51E2">
        <w:rPr>
          <w:rFonts w:ascii="Arial" w:hAnsi="Arial" w:cs="Arial"/>
          <w:i/>
          <w:sz w:val="20"/>
          <w:szCs w:val="20"/>
        </w:rPr>
        <w:t>Bogotá Mejor para Todos</w:t>
      </w:r>
      <w:r w:rsidRPr="00CC51E2">
        <w:rPr>
          <w:rFonts w:ascii="Arial" w:hAnsi="Arial" w:cs="Arial"/>
          <w:sz w:val="20"/>
          <w:szCs w:val="20"/>
        </w:rPr>
        <w:t>”, específicamente para el periodo 1 de julio y 31 de diciembre 2016.</w:t>
      </w:r>
    </w:p>
    <w:p w:rsidR="00BF6199" w:rsidRPr="00CC51E2" w:rsidRDefault="00BF6199" w:rsidP="00BF6199">
      <w:pPr>
        <w:jc w:val="both"/>
        <w:rPr>
          <w:rFonts w:ascii="Arial" w:hAnsi="Arial" w:cs="Arial"/>
          <w:sz w:val="20"/>
          <w:szCs w:val="20"/>
        </w:rPr>
      </w:pPr>
      <w:r w:rsidRPr="00CC51E2">
        <w:rPr>
          <w:rFonts w:ascii="Arial" w:hAnsi="Arial" w:cs="Arial"/>
          <w:sz w:val="20"/>
          <w:szCs w:val="20"/>
        </w:rPr>
        <w:t>Estos recursos fueron distribuidos y ejecutados en el segundo semestre de 2016 en el presupuesto de la Dirección de Mejoramiento de Vivienda - DMV, de la siguiente manera:</w:t>
      </w:r>
    </w:p>
    <w:tbl>
      <w:tblPr>
        <w:tblW w:w="7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778"/>
        <w:gridCol w:w="1150"/>
        <w:gridCol w:w="728"/>
        <w:gridCol w:w="1150"/>
        <w:gridCol w:w="784"/>
      </w:tblGrid>
      <w:tr w:rsidR="00BF6199" w:rsidRPr="00CC51E2" w:rsidTr="00BF6199">
        <w:trPr>
          <w:trHeight w:val="300"/>
          <w:tblHeader/>
          <w:jc w:val="center"/>
        </w:trPr>
        <w:tc>
          <w:tcPr>
            <w:tcW w:w="2405" w:type="dxa"/>
            <w:vMerge w:val="restart"/>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1778" w:type="dxa"/>
            <w:vMerge w:val="restart"/>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Disponibilidad Inicial</w:t>
            </w:r>
          </w:p>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(millones)</w:t>
            </w:r>
          </w:p>
        </w:tc>
        <w:tc>
          <w:tcPr>
            <w:tcW w:w="1878" w:type="dxa"/>
            <w:gridSpan w:val="2"/>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934" w:type="dxa"/>
            <w:gridSpan w:val="2"/>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Sin Ejecutar</w:t>
            </w:r>
          </w:p>
        </w:tc>
      </w:tr>
      <w:tr w:rsidR="00BF6199" w:rsidRPr="00CC51E2" w:rsidTr="00BF6199">
        <w:trPr>
          <w:trHeight w:hRule="exact" w:val="510"/>
          <w:tblHeader/>
          <w:jc w:val="center"/>
        </w:trPr>
        <w:tc>
          <w:tcPr>
            <w:tcW w:w="2405" w:type="dxa"/>
            <w:vMerge/>
            <w:shd w:val="clear" w:color="auto" w:fill="auto"/>
            <w:vAlign w:val="center"/>
            <w:hideMark/>
          </w:tcPr>
          <w:p w:rsidR="00BF6199" w:rsidRPr="00CC51E2" w:rsidRDefault="00BF6199" w:rsidP="00BF6199">
            <w:pPr>
              <w:jc w:val="center"/>
              <w:rPr>
                <w:rFonts w:ascii="Arial" w:hAnsi="Arial" w:cs="Arial"/>
                <w:b/>
                <w:bCs/>
                <w:sz w:val="20"/>
                <w:szCs w:val="20"/>
              </w:rPr>
            </w:pPr>
          </w:p>
        </w:tc>
        <w:tc>
          <w:tcPr>
            <w:tcW w:w="1778" w:type="dxa"/>
            <w:vMerge/>
            <w:shd w:val="clear" w:color="auto" w:fill="auto"/>
            <w:vAlign w:val="center"/>
            <w:hideMark/>
          </w:tcPr>
          <w:p w:rsidR="00BF6199" w:rsidRPr="00CC51E2" w:rsidRDefault="00BF6199" w:rsidP="00BF6199">
            <w:pPr>
              <w:jc w:val="center"/>
              <w:rPr>
                <w:rFonts w:ascii="Arial" w:hAnsi="Arial" w:cs="Arial"/>
                <w:b/>
                <w:bCs/>
                <w:sz w:val="20"/>
                <w:szCs w:val="20"/>
              </w:rPr>
            </w:pP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Valor (Millones)</w:t>
            </w:r>
          </w:p>
        </w:tc>
        <w:tc>
          <w:tcPr>
            <w:tcW w:w="72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Valor (Millones)</w:t>
            </w:r>
          </w:p>
        </w:tc>
        <w:tc>
          <w:tcPr>
            <w:tcW w:w="784"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02-Dotación</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283</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282</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100%</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0,4%</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03-Recurso Humano</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1.510</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1.490</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99%</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20</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1,3%</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04-Investigación y Estudios</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472</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344</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73%</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128</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27,1%</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7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2.265</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2.116</w:t>
            </w:r>
          </w:p>
        </w:tc>
        <w:tc>
          <w:tcPr>
            <w:tcW w:w="72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93%</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149</w:t>
            </w:r>
          </w:p>
        </w:tc>
        <w:tc>
          <w:tcPr>
            <w:tcW w:w="784"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6,6%</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Como se puede observar, la Dirección de Mejoramiento de Vivienda ejecutó el 93% de los recursos disponibles, dejando sin comprometer $148.915.895, correspondientes a:</w:t>
      </w:r>
    </w:p>
    <w:p w:rsidR="00BF6199" w:rsidRPr="00CC51E2" w:rsidRDefault="00BF6199" w:rsidP="00BF6199">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5"/>
        <w:gridCol w:w="1979"/>
      </w:tblGrid>
      <w:tr w:rsidR="00BF6199" w:rsidRPr="00CC51E2" w:rsidTr="00BF6199">
        <w:trPr>
          <w:trHeight w:hRule="exact" w:val="243"/>
          <w:jc w:val="center"/>
        </w:trPr>
        <w:tc>
          <w:tcPr>
            <w:tcW w:w="3397" w:type="dxa"/>
            <w:vMerge w:val="restart"/>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DOTACIÓN</w:t>
            </w:r>
          </w:p>
        </w:tc>
        <w:tc>
          <w:tcPr>
            <w:tcW w:w="2835" w:type="dxa"/>
            <w:shd w:val="clear" w:color="auto" w:fill="auto"/>
            <w:vAlign w:val="center"/>
          </w:tcPr>
          <w:p w:rsidR="00BF6199" w:rsidRPr="00CC51E2" w:rsidRDefault="00BF6199" w:rsidP="00BF6199">
            <w:pPr>
              <w:rPr>
                <w:rFonts w:ascii="Arial" w:hAnsi="Arial" w:cs="Arial"/>
                <w:sz w:val="20"/>
                <w:szCs w:val="20"/>
              </w:rPr>
            </w:pPr>
            <w:r>
              <w:rPr>
                <w:rFonts w:ascii="Arial" w:hAnsi="Arial" w:cs="Arial"/>
                <w:sz w:val="20"/>
                <w:szCs w:val="20"/>
              </w:rPr>
              <w:t xml:space="preserve">Alquiler de </w:t>
            </w:r>
            <w:r w:rsidRPr="00CC51E2">
              <w:rPr>
                <w:rFonts w:ascii="Arial" w:hAnsi="Arial" w:cs="Arial"/>
                <w:sz w:val="20"/>
                <w:szCs w:val="20"/>
              </w:rPr>
              <w:t>Computadores</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$315.165</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Servicio de Celular</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$124.728</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Transporte Terrestre</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$563.996</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TOTAL</w:t>
            </w:r>
          </w:p>
        </w:tc>
        <w:tc>
          <w:tcPr>
            <w:tcW w:w="1979"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$1.003.889</w:t>
            </w:r>
          </w:p>
        </w:tc>
      </w:tr>
      <w:tr w:rsidR="00BF6199" w:rsidRPr="00CC51E2" w:rsidTr="00BF6199">
        <w:trPr>
          <w:trHeight w:hRule="exact" w:val="227"/>
          <w:jc w:val="center"/>
        </w:trPr>
        <w:tc>
          <w:tcPr>
            <w:tcW w:w="3397"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RECURSO HUMANO</w:t>
            </w: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Planta Temporal</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$20.200.006</w:t>
            </w:r>
          </w:p>
        </w:tc>
      </w:tr>
      <w:tr w:rsidR="00BF6199" w:rsidRPr="00CC51E2" w:rsidTr="00BF6199">
        <w:trPr>
          <w:trHeight w:hRule="exact" w:val="227"/>
          <w:jc w:val="center"/>
        </w:trPr>
        <w:tc>
          <w:tcPr>
            <w:tcW w:w="3397"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INVESTIGACIÓN Y ESTUDIOS</w:t>
            </w: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Estudio de Suelos</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$127.712.000</w:t>
            </w:r>
          </w:p>
        </w:tc>
      </w:tr>
    </w:tbl>
    <w:p w:rsidR="00BF6199" w:rsidRPr="00CC51E2" w:rsidRDefault="00BF6199" w:rsidP="00BF6199">
      <w:pPr>
        <w:jc w:val="both"/>
        <w:rPr>
          <w:rFonts w:ascii="Arial" w:hAnsi="Arial" w:cs="Arial"/>
          <w:sz w:val="20"/>
          <w:szCs w:val="20"/>
        </w:rPr>
      </w:pP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Dotación:</w:t>
      </w:r>
    </w:p>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Corresponde a todos los insumos logísticos y dotacionales necesarios para que la Dirección pueda adelantar su labor misional, entendidos como alquiler de computadores, mobiliario, suministro de refrigerios, suministro de papelería, servicio de fotocopiado, servicio celular y transporte. Se presupuestó recursos por valor de $283 millones, quedando sin comprometer $1 millón de pesos. De los $282 millones comprometidos, se realizaron giros por valor de $41 millones (14,5%) quedando un saldo por girar para la vigencia 2017 de $241 millones, tal como se muestra en el siguiente cuadro:</w:t>
      </w:r>
    </w:p>
    <w:p w:rsidR="00BF6199" w:rsidRPr="00CC51E2" w:rsidRDefault="00BF6199" w:rsidP="00BF6199">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551"/>
        <w:gridCol w:w="1725"/>
        <w:gridCol w:w="1559"/>
        <w:gridCol w:w="1559"/>
      </w:tblGrid>
      <w:tr w:rsidR="00BF6199" w:rsidRPr="00CC51E2" w:rsidTr="00BF6199">
        <w:trPr>
          <w:trHeight w:hRule="exact" w:val="510"/>
          <w:tblHeader/>
          <w:jc w:val="center"/>
        </w:trPr>
        <w:tc>
          <w:tcPr>
            <w:tcW w:w="1413"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lastRenderedPageBreak/>
              <w:t>TIPO DE GASTO</w:t>
            </w:r>
          </w:p>
        </w:tc>
        <w:tc>
          <w:tcPr>
            <w:tcW w:w="255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25"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F6199">
        <w:trPr>
          <w:trHeight w:hRule="exact" w:val="284"/>
          <w:jc w:val="center"/>
        </w:trPr>
        <w:tc>
          <w:tcPr>
            <w:tcW w:w="1413" w:type="dxa"/>
            <w:vMerge w:val="restart"/>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02-Dotación</w:t>
            </w: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Alquiler Computadores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$122.061.774</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$35.778.610</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$86.283.164</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Alquiler Mobiliario</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$18.649.472</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$1.897.412</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$16.752.060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Suministro de Refrigerios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$8.680.000</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$197.200</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$8.482.800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Suministro de Papelería</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$7.977.030</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$7.977.030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Servicio Fotocopiado</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$7.526.106</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$2.260.981</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$5.265.125</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Servicio Celular</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$835.272</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$835.272</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Transporte Terrestre</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$108.936.004</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$108.936.004</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Contratación Buses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$7.500.000</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$7.500.000</w:t>
            </w:r>
          </w:p>
        </w:tc>
      </w:tr>
      <w:tr w:rsidR="00BF6199" w:rsidRPr="00CC51E2" w:rsidTr="00BF6199">
        <w:trPr>
          <w:trHeight w:hRule="exact" w:val="284"/>
          <w:jc w:val="center"/>
        </w:trPr>
        <w:tc>
          <w:tcPr>
            <w:tcW w:w="3964"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25"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$282.165.658</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$40.969.475</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$241.196.183</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El saldo no girado corresponde principalmente a los contratos de alquiler de computadores y transporte (camionetas, buses y busetas) donde la DMV comprometió $122.061.774 y $116.436.004 respectivamente, de estos compromisos quedó pendiente de girar para la vigencia 2017 recursos por $86.283.164 (70,7%) para computadores y la totalidad del giro para transporte.</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Los recursos de mobiliario fueron comprometidos en el marco del convenio interadministrativo No.496 de 2016 con un plazo de ejecución hasta el 27 de Julio de 2017. </w:t>
      </w:r>
    </w:p>
    <w:p w:rsidR="00BF6199" w:rsidRPr="00CC51E2" w:rsidRDefault="00BF6199" w:rsidP="00BF6199">
      <w:pPr>
        <w:jc w:val="both"/>
        <w:rPr>
          <w:rFonts w:ascii="Arial" w:hAnsi="Arial" w:cs="Arial"/>
          <w:sz w:val="20"/>
          <w:szCs w:val="20"/>
        </w:rPr>
      </w:pPr>
      <w:r w:rsidRPr="00CC51E2">
        <w:rPr>
          <w:rFonts w:ascii="Arial" w:hAnsi="Arial" w:cs="Arial"/>
          <w:sz w:val="20"/>
          <w:szCs w:val="20"/>
        </w:rPr>
        <w:t>Es importante resaltar que los $241.196.183 fueron girados en su totalidad durante el primer semestre del 2017, tal como se mostrará en el presente informe más adelante.</w:t>
      </w:r>
    </w:p>
    <w:p w:rsidR="00BF6199" w:rsidRPr="00CC51E2" w:rsidRDefault="00BF6199" w:rsidP="00BF6199">
      <w:pPr>
        <w:jc w:val="both"/>
        <w:rPr>
          <w:rFonts w:ascii="Arial" w:hAnsi="Arial" w:cs="Arial"/>
          <w:sz w:val="20"/>
          <w:szCs w:val="20"/>
        </w:rPr>
      </w:pP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Recurso Humano:</w:t>
      </w:r>
    </w:p>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Corresponde a la planta temporal, contratos de prestación de servicios y Administradora de Riesgos Laborales - ARL que requiere la Dirección para adelantar su labor misional. Se presupuestó para el segundo semestre de 2016 $1.510 millones y se comprometió el 99% de los mismos, es decir, quedó sin ejecutar $ 20.200.006 pesos, tal como se muestra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268"/>
        <w:gridCol w:w="1701"/>
        <w:gridCol w:w="1560"/>
        <w:gridCol w:w="1971"/>
      </w:tblGrid>
      <w:tr w:rsidR="00BF6199" w:rsidRPr="00CC51E2" w:rsidTr="00BD4DF1">
        <w:trPr>
          <w:trHeight w:hRule="exact" w:val="692"/>
          <w:tblHeader/>
          <w:jc w:val="center"/>
        </w:trPr>
        <w:tc>
          <w:tcPr>
            <w:tcW w:w="112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2268"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0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560"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97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D4DF1">
        <w:trPr>
          <w:trHeight w:hRule="exact" w:val="610"/>
          <w:jc w:val="center"/>
        </w:trPr>
        <w:tc>
          <w:tcPr>
            <w:tcW w:w="1129" w:type="dxa"/>
            <w:vMerge w:val="restart"/>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03-Recurso Humano</w:t>
            </w: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Contratos Prestación de Servicios</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$1.290.469.522</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$207.376.332</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$1.083.093.190</w:t>
            </w:r>
          </w:p>
        </w:tc>
      </w:tr>
      <w:tr w:rsidR="00BF6199" w:rsidRPr="00CC51E2" w:rsidTr="00BD4DF1">
        <w:trPr>
          <w:trHeight w:hRule="exact" w:val="284"/>
          <w:jc w:val="center"/>
        </w:trPr>
        <w:tc>
          <w:tcPr>
            <w:tcW w:w="1129"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Personal de Planta</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$174.391.225</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$63.402.221</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$110.989.004</w:t>
            </w:r>
          </w:p>
        </w:tc>
      </w:tr>
      <w:tr w:rsidR="00BF6199" w:rsidRPr="00CC51E2" w:rsidTr="00BD4DF1">
        <w:trPr>
          <w:trHeight w:hRule="exact" w:val="284"/>
          <w:jc w:val="center"/>
        </w:trPr>
        <w:tc>
          <w:tcPr>
            <w:tcW w:w="1129"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ARL</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$24.769.700</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$21.075.400</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$3.694.300</w:t>
            </w:r>
          </w:p>
        </w:tc>
      </w:tr>
      <w:tr w:rsidR="00BF6199" w:rsidRPr="00CC51E2" w:rsidTr="00BF6199">
        <w:trPr>
          <w:trHeight w:hRule="exact" w:val="284"/>
          <w:jc w:val="center"/>
        </w:trPr>
        <w:tc>
          <w:tcPr>
            <w:tcW w:w="3397"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0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$1.489.630.447</w:t>
            </w:r>
          </w:p>
        </w:tc>
        <w:tc>
          <w:tcPr>
            <w:tcW w:w="1560"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$291.853.953</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$1.197.776.494</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El saldo pendiente de giro correspondía principalmente a los contratos de prestación de servicios y a planta temporal, que se fue causando mes a mes durante el primer semestre del 2017 hasta cumplir los compromisos.</w:t>
      </w: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Investigación y Estudios:</w:t>
      </w:r>
    </w:p>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pacing w:val="-5"/>
          <w:sz w:val="20"/>
          <w:szCs w:val="20"/>
        </w:rPr>
      </w:pPr>
      <w:r w:rsidRPr="00CC51E2">
        <w:rPr>
          <w:rFonts w:ascii="Arial" w:hAnsi="Arial" w:cs="Arial"/>
          <w:spacing w:val="-5"/>
          <w:sz w:val="20"/>
          <w:szCs w:val="20"/>
        </w:rPr>
        <w:t>Consiste en brindar acompañamiento técnico, jurídico y social a los hogares inscritos al Programa de Mejoramiento de Vivienda, para la consecución y/o trámite de Licencia de Construcción y/o Acto de Reconocimiento, encaminados al mejoramiento de su vivienda, para lo cual en algunos casos se requiere de un estudio de suelos para el trámite ante Curaduría Urbana.</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este rubro se presupuestó el valor de $472.000.000 y se comprometió en el mes de diciembre de 2016 el valor de $344.288.000, de acuerdo al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268"/>
        <w:gridCol w:w="1701"/>
        <w:gridCol w:w="895"/>
        <w:gridCol w:w="1559"/>
      </w:tblGrid>
      <w:tr w:rsidR="00BF6199" w:rsidRPr="00CC51E2" w:rsidTr="00BF6199">
        <w:trPr>
          <w:trHeight w:hRule="exact" w:val="510"/>
          <w:tblHeader/>
          <w:jc w:val="center"/>
        </w:trPr>
        <w:tc>
          <w:tcPr>
            <w:tcW w:w="2830"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2268"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0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895"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F6199">
        <w:trPr>
          <w:trHeight w:hRule="exact" w:val="284"/>
          <w:jc w:val="center"/>
        </w:trPr>
        <w:tc>
          <w:tcPr>
            <w:tcW w:w="2830" w:type="dxa"/>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04-Investigación y Estudios</w:t>
            </w:r>
          </w:p>
        </w:tc>
        <w:tc>
          <w:tcPr>
            <w:tcW w:w="2268" w:type="dxa"/>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Estudios Geotécnicos</w:t>
            </w:r>
          </w:p>
        </w:tc>
        <w:tc>
          <w:tcPr>
            <w:tcW w:w="1701"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$344.288.000</w:t>
            </w:r>
          </w:p>
        </w:tc>
        <w:tc>
          <w:tcPr>
            <w:tcW w:w="895"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r>
      <w:tr w:rsidR="00BF6199" w:rsidRPr="00CC51E2" w:rsidTr="00BF6199">
        <w:trPr>
          <w:trHeight w:hRule="exact" w:val="284"/>
          <w:jc w:val="center"/>
        </w:trPr>
        <w:tc>
          <w:tcPr>
            <w:tcW w:w="5098"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01"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c>
          <w:tcPr>
            <w:tcW w:w="895"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En el marco de este rubro, se logró suscribir el contrato No.600 de 2016 el cual tiene por objeto “</w:t>
      </w:r>
      <w:r w:rsidRPr="00CC51E2">
        <w:rPr>
          <w:rFonts w:ascii="Arial" w:hAnsi="Arial" w:cs="Arial"/>
          <w:i/>
          <w:sz w:val="20"/>
          <w:szCs w:val="20"/>
        </w:rPr>
        <w:t>Contratar por el Sistema de precios Unitarios sin fórmula de Ajuste la realización de estudios Geotécnicos de predios que pertenecen al programa de Mejoramiento de Vivienda de la Caja de la Vivienda Popular que den soporte al trámite y obtención de Licencias de Construcción o Actos de Reconocimiento</w:t>
      </w:r>
      <w:r w:rsidRPr="00CC51E2">
        <w:rPr>
          <w:rFonts w:ascii="Arial" w:hAnsi="Arial" w:cs="Arial"/>
          <w:sz w:val="20"/>
          <w:szCs w:val="20"/>
        </w:rPr>
        <w:t>” por valor de $344.288.000, dicho contrato se legalizó el día 22 de diciembre de 2016, y el acta de inicio quedó firmada el día 24 de Enero de 2017, razón por la cual, no se generó ningún pago al contratista en el 2016.</w:t>
      </w:r>
    </w:p>
    <w:p w:rsidR="00BF6199" w:rsidRPr="00CC51E2" w:rsidRDefault="00BF6199" w:rsidP="00BF6199">
      <w:pPr>
        <w:jc w:val="both"/>
        <w:rPr>
          <w:rFonts w:ascii="Arial" w:hAnsi="Arial" w:cs="Arial"/>
          <w:sz w:val="20"/>
          <w:szCs w:val="20"/>
        </w:rPr>
      </w:pP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Reservas constituidas en la vigencia 2016:</w:t>
      </w:r>
    </w:p>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Los recursos que fueron comprometidos durante la vigencia 2015 y que no fueron girados en la misma vigencia, se constituyeron como reservas en la vigencia 2016, al 1 de enero de 2016 se tenían constituidas reservas por valor de $648.349.315, de los cuales, se liberaron $40.971.000 correspondiente a contratos de prestación de servicios que se liquidaron unilateralmente, y un valor de $85.574.079 correspondiente a un contrato de Transporte que se liquidó en diciembre de 2016, en donde se giró por concepto de liquidación un valor de $521.804.235.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2123"/>
        <w:gridCol w:w="2124"/>
      </w:tblGrid>
      <w:tr w:rsidR="00BF6199" w:rsidRPr="00CC51E2" w:rsidTr="00BD4DF1">
        <w:trPr>
          <w:trHeight w:hRule="exact" w:val="825"/>
          <w:tblHeader/>
          <w:jc w:val="center"/>
        </w:trPr>
        <w:tc>
          <w:tcPr>
            <w:tcW w:w="2123"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RESERVAS CONSTITUIDAS</w:t>
            </w:r>
          </w:p>
        </w:tc>
        <w:tc>
          <w:tcPr>
            <w:tcW w:w="2123"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LIBERACIÓN DE RESERVAS</w:t>
            </w:r>
          </w:p>
        </w:tc>
        <w:tc>
          <w:tcPr>
            <w:tcW w:w="2124"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GIROS A 31 DE DICIEMBRE DE 2016</w:t>
            </w:r>
          </w:p>
        </w:tc>
      </w:tr>
      <w:tr w:rsidR="00BF6199" w:rsidRPr="00CC51E2" w:rsidTr="00BF6199">
        <w:trPr>
          <w:trHeight w:hRule="exact" w:val="284"/>
          <w:jc w:val="center"/>
        </w:trPr>
        <w:tc>
          <w:tcPr>
            <w:tcW w:w="2123"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648.349.315</w:t>
            </w:r>
          </w:p>
        </w:tc>
        <w:tc>
          <w:tcPr>
            <w:tcW w:w="2123"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126.545.080</w:t>
            </w:r>
          </w:p>
        </w:tc>
        <w:tc>
          <w:tcPr>
            <w:tcW w:w="2124"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521.804.235</w:t>
            </w:r>
          </w:p>
        </w:tc>
      </w:tr>
    </w:tbl>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A 31 de diciembre de 2016 no se generó pasivos Exigibles provenientes de las reservas de 2016.</w:t>
      </w:r>
    </w:p>
    <w:p w:rsidR="00BF6199" w:rsidRPr="00CC51E2" w:rsidRDefault="00BF6199" w:rsidP="00BF6199">
      <w:pPr>
        <w:rPr>
          <w:rFonts w:ascii="Arial" w:hAnsi="Arial" w:cs="Arial"/>
          <w:b/>
          <w:sz w:val="20"/>
          <w:szCs w:val="20"/>
          <w:lang w:val="es-ES"/>
        </w:rPr>
      </w:pPr>
      <w:r w:rsidRPr="00CC51E2">
        <w:rPr>
          <w:rFonts w:ascii="Arial" w:hAnsi="Arial" w:cs="Arial"/>
          <w:b/>
          <w:sz w:val="20"/>
          <w:szCs w:val="20"/>
          <w:lang w:eastAsia="es-ES"/>
        </w:rPr>
        <w:t>EJECUCION PRESUPUESTAL VIGENCIA 2017 (</w:t>
      </w:r>
      <w:r w:rsidRPr="00CC51E2">
        <w:rPr>
          <w:rFonts w:ascii="Arial" w:hAnsi="Arial" w:cs="Arial"/>
          <w:b/>
          <w:sz w:val="20"/>
          <w:szCs w:val="20"/>
          <w:lang w:val="es-ES"/>
        </w:rPr>
        <w:t>ENERO - OCTUBRE).</w:t>
      </w:r>
    </w:p>
    <w:p w:rsidR="00BF6199" w:rsidRPr="00CC51E2" w:rsidRDefault="00BF6199" w:rsidP="00BF6199">
      <w:pPr>
        <w:jc w:val="both"/>
        <w:rPr>
          <w:rFonts w:ascii="Arial" w:hAnsi="Arial" w:cs="Arial"/>
          <w:color w:val="000000"/>
          <w:sz w:val="20"/>
          <w:szCs w:val="20"/>
        </w:rPr>
      </w:pPr>
      <w:r w:rsidRPr="00CC51E2">
        <w:rPr>
          <w:rFonts w:ascii="Arial" w:hAnsi="Arial" w:cs="Arial"/>
          <w:color w:val="000000"/>
          <w:sz w:val="20"/>
          <w:szCs w:val="20"/>
        </w:rPr>
        <w:t>El presupuesto establecido para el 2017, para el proyecto 7328 “</w:t>
      </w:r>
      <w:r w:rsidRPr="00CC51E2">
        <w:rPr>
          <w:rFonts w:ascii="Arial" w:hAnsi="Arial" w:cs="Arial"/>
          <w:i/>
          <w:color w:val="000000"/>
          <w:sz w:val="20"/>
          <w:szCs w:val="20"/>
        </w:rPr>
        <w:t>Mejoramiento de Vivienda en sus condiciones físicas y de Habitabilidad en los Asentamientos Urbanos priorizados en área urbana y rural</w:t>
      </w:r>
      <w:r w:rsidRPr="00CC51E2">
        <w:rPr>
          <w:rFonts w:ascii="Arial" w:hAnsi="Arial" w:cs="Arial"/>
          <w:color w:val="000000"/>
          <w:sz w:val="20"/>
          <w:szCs w:val="20"/>
        </w:rPr>
        <w:t>”, es de $3.905.746.000, el cual se ha ejecutado a 30 de octubre de la siguiente forma:</w:t>
      </w:r>
    </w:p>
    <w:p w:rsidR="00BF6199" w:rsidRPr="00CC51E2" w:rsidRDefault="00BF6199" w:rsidP="00BF6199">
      <w:pPr>
        <w:jc w:val="center"/>
        <w:rPr>
          <w:rFonts w:ascii="Arial" w:hAnsi="Arial" w:cs="Arial"/>
          <w:color w:val="000000"/>
          <w:sz w:val="20"/>
          <w:szCs w:val="20"/>
        </w:rPr>
      </w:pPr>
      <w:r w:rsidRPr="00CC51E2">
        <w:rPr>
          <w:rFonts w:ascii="Arial" w:hAnsi="Arial" w:cs="Arial"/>
          <w:noProof/>
          <w:sz w:val="20"/>
          <w:szCs w:val="20"/>
          <w:lang w:val="es-ES" w:eastAsia="es-ES"/>
        </w:rPr>
        <w:drawing>
          <wp:inline distT="0" distB="0" distL="0" distR="0" wp14:anchorId="468FE363" wp14:editId="19133A70">
            <wp:extent cx="5638800" cy="218122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38800" cy="2181225"/>
                    </a:xfrm>
                    <a:prstGeom prst="rect">
                      <a:avLst/>
                    </a:prstGeom>
                    <a:noFill/>
                    <a:ln>
                      <a:noFill/>
                    </a:ln>
                  </pic:spPr>
                </pic:pic>
              </a:graphicData>
            </a:graphic>
          </wp:inline>
        </w:drawing>
      </w: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DOTACIÓN</w:t>
      </w:r>
      <w:r w:rsidRPr="00CC51E2">
        <w:rPr>
          <w:rFonts w:ascii="Arial" w:hAnsi="Arial" w:cs="Arial"/>
          <w:color w:val="000000"/>
          <w:sz w:val="20"/>
          <w:szCs w:val="20"/>
          <w:lang w:eastAsia="zh-CN"/>
        </w:rPr>
        <w:t>: En este rubro se encuentra el presupuesto destinado a Comunicaciones tanto para la estrategia BTL de comunicación integral, como para los servicios de socialización y divulgación de información, que permite informar a la ciudadanía sobre la gestión pública de la Dirección de Mejoramiento de Vivienda y el cuál se destinó por un valor de $220.000.000.</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r w:rsidRPr="00CC51E2">
        <w:rPr>
          <w:rFonts w:ascii="Arial" w:hAnsi="Arial" w:cs="Arial"/>
          <w:color w:val="000000"/>
          <w:sz w:val="20"/>
          <w:szCs w:val="20"/>
          <w:lang w:eastAsia="zh-CN"/>
        </w:rPr>
        <w:t xml:space="preserve">De esta apropiación, a 30 de octubre se solicitó: Para la Estrategia BTL de Comunicación CDP por valor de $100.000.000 y para los servicios de socialización y divulgación un valor de $67.485.584. Los cuales a la fecha mencionada se han comprometido en su totalidad. </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PLANTA TEMPORAL:</w:t>
      </w:r>
      <w:r w:rsidRPr="00CC51E2">
        <w:rPr>
          <w:rFonts w:ascii="Arial" w:hAnsi="Arial" w:cs="Arial"/>
          <w:color w:val="000000"/>
          <w:sz w:val="20"/>
          <w:szCs w:val="20"/>
          <w:lang w:eastAsia="zh-CN"/>
        </w:rPr>
        <w:t xml:space="preserve"> Para este concepto se presupuestó la suma de $416.415.041, de los cuales se han comprometido y girado $308.190.190 al 30 de octubre de 2017, es decir un 74%.</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ARL</w:t>
      </w:r>
      <w:r w:rsidRPr="00CC51E2">
        <w:rPr>
          <w:rFonts w:ascii="Arial" w:hAnsi="Arial" w:cs="Arial"/>
          <w:color w:val="000000"/>
          <w:sz w:val="20"/>
          <w:szCs w:val="20"/>
          <w:lang w:eastAsia="zh-CN"/>
        </w:rPr>
        <w:t>: Para este concepto se reservó un valor de $14.867.200, de los cuales se han comprometido y girado el valor de $11.144.200 a 30 de octubre de 2017, correspondiente a un 75%.</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PRESTACIÓN DE SERVICIOS:</w:t>
      </w:r>
      <w:r w:rsidRPr="00CC51E2">
        <w:rPr>
          <w:rFonts w:ascii="Arial" w:hAnsi="Arial" w:cs="Arial"/>
          <w:color w:val="000000"/>
          <w:sz w:val="20"/>
          <w:szCs w:val="20"/>
          <w:lang w:eastAsia="zh-CN"/>
        </w:rPr>
        <w:t xml:space="preserve"> Se apropió un valor de $2.344.263.759 del cual se han solicitado CDP por valor de $2.336.526.850 y se ha comprometido el valor de $2.323.028.517 a 30 de octubre de 2017.</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PRESTACIÓN DE SERVICIOS CONVENIO 496 DE 2016</w:t>
      </w:r>
      <w:r w:rsidRPr="00CC51E2">
        <w:rPr>
          <w:rFonts w:ascii="Arial" w:hAnsi="Arial" w:cs="Arial"/>
          <w:color w:val="000000"/>
          <w:sz w:val="20"/>
          <w:szCs w:val="20"/>
          <w:lang w:eastAsia="zh-CN"/>
        </w:rPr>
        <w:t xml:space="preserve">: El día 27 de octubre de 2016, se suscribió el Convenio Interadministrativo 496 de 2016, entre la Secretaría Distrital del Hábitat y la Caja de la Vivienda Popular. </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r w:rsidRPr="00CC51E2">
        <w:rPr>
          <w:rFonts w:ascii="Arial" w:hAnsi="Arial" w:cs="Arial"/>
          <w:color w:val="000000"/>
          <w:sz w:val="20"/>
          <w:szCs w:val="20"/>
          <w:lang w:eastAsia="zh-CN"/>
        </w:rPr>
        <w:t xml:space="preserve">La Secretaría Distrital del Hábitat, aportó $910.200.000, los cuales se incorporaron al presupuesto del proyecto de inversión 7328 el día 21 de febrero de 2017. A 30 de octubre de 2017, se ha </w:t>
      </w:r>
      <w:r w:rsidRPr="00CC51E2">
        <w:rPr>
          <w:rFonts w:ascii="Arial" w:hAnsi="Arial" w:cs="Arial"/>
          <w:color w:val="000000"/>
          <w:sz w:val="20"/>
          <w:szCs w:val="20"/>
          <w:lang w:eastAsia="zh-CN"/>
        </w:rPr>
        <w:lastRenderedPageBreak/>
        <w:t>ejecutado en la contratación de personal por medio de CDP por valor de $910.180.999, los cuales se han comprometido en su totalidad.</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rPr>
      </w:pPr>
      <w:r w:rsidRPr="00CC51E2">
        <w:rPr>
          <w:rFonts w:ascii="Arial" w:hAnsi="Arial" w:cs="Arial"/>
          <w:b/>
          <w:color w:val="000000"/>
          <w:sz w:val="20"/>
          <w:szCs w:val="20"/>
        </w:rPr>
        <w:t xml:space="preserve">TRASLADO PRESUPUESTAL: </w:t>
      </w:r>
      <w:r w:rsidRPr="00CC51E2">
        <w:rPr>
          <w:rFonts w:ascii="Arial" w:hAnsi="Arial" w:cs="Arial"/>
          <w:color w:val="000000"/>
          <w:sz w:val="20"/>
          <w:szCs w:val="20"/>
        </w:rPr>
        <w:t>El día 25 de octubre se incorporó al presupuesto del proyecto 7328, el valor de $650.000.000, provenientes del presupuesto de la Dirección de Reasentamientos, los cuales serán destinados para apoyar a la Secretaria Distrital del Hábitat – SDHT en la estructuración de nuevos proyectos de aspirantes al subsidio de mejoramiento de vivienda en especie. A 30 de octubre no se han comprometido estos recursos, ya que a la fecha se encuentra en proceso de suscribir un nuevo convenio con la SDHT, con el fin de llevar a cabo esta labor.</w:t>
      </w:r>
    </w:p>
    <w:p w:rsidR="00BF6199" w:rsidRDefault="00BF6199" w:rsidP="00BF6199">
      <w:pPr>
        <w:jc w:val="both"/>
        <w:rPr>
          <w:rFonts w:ascii="Arial" w:hAnsi="Arial" w:cs="Arial"/>
          <w:color w:val="000000"/>
          <w:sz w:val="20"/>
          <w:szCs w:val="20"/>
        </w:rPr>
      </w:pPr>
    </w:p>
    <w:p w:rsidR="00BF6199" w:rsidRPr="00CC51E2" w:rsidRDefault="00BF6199" w:rsidP="00BF6199">
      <w:pPr>
        <w:jc w:val="both"/>
        <w:rPr>
          <w:rFonts w:ascii="Arial" w:hAnsi="Arial" w:cs="Arial"/>
          <w:color w:val="000000"/>
          <w:sz w:val="20"/>
          <w:szCs w:val="20"/>
        </w:rPr>
      </w:pPr>
      <w:r w:rsidRPr="00CC51E2">
        <w:rPr>
          <w:rFonts w:ascii="Arial" w:hAnsi="Arial" w:cs="Arial"/>
          <w:color w:val="000000"/>
          <w:sz w:val="20"/>
          <w:szCs w:val="20"/>
        </w:rPr>
        <w:t>Por lo cual, a 30 de octubre se ha ejecutado el 81% del Presupuesto Disponible para el año 2017, por valor total de $3.708.885.</w:t>
      </w:r>
    </w:p>
    <w:p w:rsidR="00BF6199" w:rsidRPr="00CC51E2" w:rsidRDefault="00BF6199" w:rsidP="00BF6199">
      <w:pPr>
        <w:overflowPunct w:val="0"/>
        <w:autoSpaceDE w:val="0"/>
        <w:autoSpaceDN w:val="0"/>
        <w:adjustRightInd w:val="0"/>
        <w:jc w:val="both"/>
        <w:textAlignment w:val="baseline"/>
        <w:rPr>
          <w:rFonts w:ascii="Arial" w:hAnsi="Arial" w:cs="Arial"/>
          <w:b/>
          <w:sz w:val="20"/>
          <w:szCs w:val="20"/>
        </w:rPr>
      </w:pPr>
      <w:r w:rsidRPr="00CC51E2">
        <w:rPr>
          <w:rFonts w:ascii="Arial" w:hAnsi="Arial" w:cs="Arial"/>
          <w:b/>
          <w:sz w:val="20"/>
          <w:szCs w:val="20"/>
        </w:rPr>
        <w:t>Logros obtenidos y acciones adelantadas para el cumplimiento de las metas</w:t>
      </w:r>
    </w:p>
    <w:p w:rsidR="00BF6199" w:rsidRPr="00CC51E2" w:rsidRDefault="00BF6199" w:rsidP="00BF6199">
      <w:pPr>
        <w:overflowPunct w:val="0"/>
        <w:autoSpaceDE w:val="0"/>
        <w:autoSpaceDN w:val="0"/>
        <w:adjustRightInd w:val="0"/>
        <w:jc w:val="both"/>
        <w:textAlignment w:val="baseline"/>
        <w:rPr>
          <w:rFonts w:ascii="Arial" w:eastAsia="Times New Roman" w:hAnsi="Arial" w:cs="Arial"/>
          <w:bCs/>
          <w:sz w:val="20"/>
          <w:szCs w:val="20"/>
          <w:lang w:eastAsia="es-ES"/>
        </w:rPr>
      </w:pPr>
      <w:r w:rsidRPr="00CC51E2">
        <w:rPr>
          <w:rFonts w:ascii="Arial" w:hAnsi="Arial" w:cs="Arial"/>
          <w:b/>
          <w:sz w:val="20"/>
          <w:szCs w:val="20"/>
        </w:rPr>
        <w:t>Ejecución de Metas del Proyecto de Inversión 7328 - Vigencia 2016 - 2017</w:t>
      </w:r>
    </w:p>
    <w:p w:rsidR="00BF6199" w:rsidRPr="00CC51E2" w:rsidRDefault="00BF6199" w:rsidP="00BF6199">
      <w:pPr>
        <w:overflowPunct w:val="0"/>
        <w:autoSpaceDE w:val="0"/>
        <w:autoSpaceDN w:val="0"/>
        <w:adjustRightInd w:val="0"/>
        <w:jc w:val="both"/>
        <w:textAlignment w:val="baseline"/>
        <w:rPr>
          <w:rFonts w:ascii="Arial" w:hAnsi="Arial" w:cs="Arial"/>
          <w:sz w:val="20"/>
          <w:szCs w:val="20"/>
          <w:lang w:val="es-ES_tradnl" w:eastAsia="es-ES"/>
        </w:rPr>
      </w:pPr>
      <w:r w:rsidRPr="00CC51E2">
        <w:rPr>
          <w:rFonts w:ascii="Arial" w:hAnsi="Arial" w:cs="Arial"/>
          <w:sz w:val="20"/>
          <w:szCs w:val="20"/>
          <w:lang w:val="es-ES_tradnl" w:eastAsia="es-ES"/>
        </w:rPr>
        <w:t>El proyecto de Inversión P.I. 7328 - 175 “</w:t>
      </w:r>
      <w:r w:rsidRPr="00CC51E2">
        <w:rPr>
          <w:rFonts w:ascii="Arial" w:hAnsi="Arial" w:cs="Arial"/>
          <w:i/>
          <w:sz w:val="20"/>
          <w:szCs w:val="20"/>
          <w:lang w:val="es-ES_tradnl" w:eastAsia="es-ES"/>
        </w:rPr>
        <w:t>Mejoramiento de vivienda en sus condiciones físicas y de habitabilidad en los asentamientos humanos priorizados en área urbana y rural</w:t>
      </w:r>
      <w:r w:rsidRPr="00CC51E2">
        <w:rPr>
          <w:rFonts w:ascii="Arial" w:hAnsi="Arial" w:cs="Arial"/>
          <w:sz w:val="20"/>
          <w:szCs w:val="20"/>
          <w:lang w:val="es-ES_tradnl" w:eastAsia="es-ES"/>
        </w:rPr>
        <w:t>” del Plan de Desarrollo 2016-2020 “</w:t>
      </w:r>
      <w:r w:rsidRPr="00CC51E2">
        <w:rPr>
          <w:rFonts w:ascii="Arial" w:hAnsi="Arial" w:cs="Arial"/>
          <w:i/>
          <w:sz w:val="20"/>
          <w:szCs w:val="20"/>
          <w:lang w:val="es-ES_tradnl" w:eastAsia="es-ES"/>
        </w:rPr>
        <w:t>Bogotá Mejor para Todos</w:t>
      </w:r>
      <w:r w:rsidRPr="00CC51E2">
        <w:rPr>
          <w:rFonts w:ascii="Arial" w:hAnsi="Arial" w:cs="Arial"/>
          <w:sz w:val="20"/>
          <w:szCs w:val="20"/>
          <w:lang w:val="es-ES_tradnl" w:eastAsia="es-ES"/>
        </w:rPr>
        <w:t>”, contempló para el periodo entre el 1 de julio de 2016 y el 31 de diciembre de 2017 las siguientes metas, que a 31 de octubre arrojan los siguientes resultados de ejecución:</w:t>
      </w:r>
    </w:p>
    <w:p w:rsidR="00BF6199" w:rsidRPr="00CC51E2" w:rsidRDefault="00BF6199" w:rsidP="00BF6199">
      <w:pPr>
        <w:rPr>
          <w:rFonts w:ascii="Arial" w:hAnsi="Arial" w:cs="Arial"/>
          <w:sz w:val="20"/>
          <w:szCs w:val="20"/>
          <w:lang w:val="es-ES" w:eastAsia="es-ES"/>
        </w:rPr>
      </w:pPr>
      <w:r w:rsidRPr="00CC51E2">
        <w:rPr>
          <w:rFonts w:ascii="Arial" w:hAnsi="Arial" w:cs="Arial"/>
          <w:sz w:val="20"/>
          <w:szCs w:val="20"/>
          <w:lang w:val="es-ES_tradnl" w:eastAsia="es-ES"/>
        </w:rPr>
        <w:fldChar w:fldCharType="begin"/>
      </w:r>
      <w:r w:rsidRPr="00CC51E2">
        <w:rPr>
          <w:rFonts w:ascii="Arial" w:hAnsi="Arial" w:cs="Arial"/>
          <w:sz w:val="20"/>
          <w:szCs w:val="20"/>
          <w:lang w:val="es-ES_tradnl" w:eastAsia="es-ES"/>
        </w:rPr>
        <w:instrText xml:space="preserve"> LINK Excel.Sheet.12 "C:\\Users\\lgrodriguez\\Desktop\\Documentos Luis Gabriel\\30. RENDICION DE CUENTAS 2016-2017\\RENDICION DE CUENTAS 2017.xlsx" "METAS 2016 Y 2017!F3C2:F8C5" \a \f 4 \h  \* MERGEFORMAT </w:instrText>
      </w:r>
      <w:r w:rsidRPr="00CC51E2">
        <w:rPr>
          <w:rFonts w:ascii="Arial" w:hAnsi="Arial" w:cs="Arial"/>
          <w:sz w:val="20"/>
          <w:szCs w:val="20"/>
          <w:lang w:val="es-ES_tradnl" w:eastAsia="es-ES"/>
        </w:rPr>
        <w:fldChar w:fldCharType="separate"/>
      </w:r>
    </w:p>
    <w:tbl>
      <w:tblPr>
        <w:tblW w:w="8757" w:type="dxa"/>
        <w:jc w:val="center"/>
        <w:tblCellMar>
          <w:left w:w="70" w:type="dxa"/>
          <w:right w:w="70" w:type="dxa"/>
        </w:tblCellMar>
        <w:tblLook w:val="04A0" w:firstRow="1" w:lastRow="0" w:firstColumn="1" w:lastColumn="0" w:noHBand="0" w:noVBand="1"/>
      </w:tblPr>
      <w:tblGrid>
        <w:gridCol w:w="4352"/>
        <w:gridCol w:w="1629"/>
        <w:gridCol w:w="1374"/>
        <w:gridCol w:w="1402"/>
      </w:tblGrid>
      <w:tr w:rsidR="00BF6199" w:rsidRPr="00CC51E2" w:rsidTr="00BF6199">
        <w:trPr>
          <w:trHeight w:val="570"/>
          <w:jc w:val="center"/>
        </w:trPr>
        <w:tc>
          <w:tcPr>
            <w:tcW w:w="4352" w:type="dxa"/>
            <w:tcBorders>
              <w:top w:val="single" w:sz="8" w:space="0" w:color="auto"/>
              <w:left w:val="single" w:sz="8" w:space="0" w:color="auto"/>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METAS</w:t>
            </w:r>
          </w:p>
        </w:tc>
        <w:tc>
          <w:tcPr>
            <w:tcW w:w="1480"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PROGRAMADO       2016-2017</w:t>
            </w:r>
          </w:p>
        </w:tc>
        <w:tc>
          <w:tcPr>
            <w:tcW w:w="1366"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EJECUTADO A LA FECHA</w:t>
            </w:r>
          </w:p>
        </w:tc>
        <w:tc>
          <w:tcPr>
            <w:tcW w:w="1559" w:type="dxa"/>
            <w:tcBorders>
              <w:top w:val="single" w:sz="8" w:space="0" w:color="auto"/>
              <w:left w:val="nil"/>
              <w:bottom w:val="nil"/>
              <w:right w:val="single" w:sz="8"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EJECUTADO A LA FECHA</w:t>
            </w:r>
          </w:p>
        </w:tc>
      </w:tr>
      <w:tr w:rsidR="00BF6199" w:rsidRPr="00CC51E2" w:rsidTr="00BF6199">
        <w:trPr>
          <w:trHeight w:val="1288"/>
          <w:jc w:val="center"/>
        </w:trPr>
        <w:tc>
          <w:tcPr>
            <w:tcW w:w="4352" w:type="dxa"/>
            <w:tcBorders>
              <w:top w:val="single" w:sz="8" w:space="0" w:color="auto"/>
              <w:left w:val="single" w:sz="8" w:space="0" w:color="auto"/>
              <w:bottom w:val="single" w:sz="8" w:space="0" w:color="auto"/>
              <w:right w:val="single" w:sz="4" w:space="0" w:color="auto"/>
            </w:tcBorders>
            <w:shd w:val="clear" w:color="auto" w:fill="auto"/>
            <w:hideMark/>
          </w:tcPr>
          <w:p w:rsidR="00BF6199" w:rsidRPr="00B235AC" w:rsidRDefault="00BF6199" w:rsidP="00BF6199">
            <w:pPr>
              <w:jc w:val="both"/>
              <w:rPr>
                <w:rFonts w:ascii="Arial" w:eastAsia="Times New Roman" w:hAnsi="Arial" w:cs="Arial"/>
                <w:sz w:val="20"/>
                <w:szCs w:val="20"/>
                <w:lang w:val="es-ES" w:eastAsia="es-ES"/>
              </w:rPr>
            </w:pPr>
            <w:r w:rsidRPr="00B235AC">
              <w:rPr>
                <w:rFonts w:ascii="Arial" w:eastAsia="Times New Roman" w:hAnsi="Arial" w:cs="Arial"/>
                <w:b/>
                <w:bCs/>
                <w:sz w:val="20"/>
                <w:szCs w:val="20"/>
                <w:lang w:val="es-ES" w:eastAsia="es-ES"/>
              </w:rPr>
              <w:t xml:space="preserve">META 1: </w:t>
            </w:r>
            <w:r w:rsidRPr="00B235AC">
              <w:rPr>
                <w:rFonts w:ascii="Arial" w:eastAsia="Times New Roman" w:hAnsi="Arial" w:cs="Arial"/>
                <w:sz w:val="20"/>
                <w:szCs w:val="20"/>
                <w:lang w:val="es-ES" w:eastAsia="es-ES"/>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480"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12109</w:t>
            </w:r>
          </w:p>
        </w:tc>
        <w:tc>
          <w:tcPr>
            <w:tcW w:w="1366" w:type="dxa"/>
            <w:tcBorders>
              <w:top w:val="single" w:sz="8" w:space="0" w:color="auto"/>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12020</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99,3%</w:t>
            </w:r>
          </w:p>
        </w:tc>
      </w:tr>
      <w:tr w:rsidR="00BF6199" w:rsidRPr="00CC51E2" w:rsidTr="00BF6199">
        <w:trPr>
          <w:trHeight w:val="517"/>
          <w:jc w:val="center"/>
        </w:trPr>
        <w:tc>
          <w:tcPr>
            <w:tcW w:w="4352" w:type="dxa"/>
            <w:vMerge w:val="restart"/>
            <w:tcBorders>
              <w:top w:val="nil"/>
              <w:left w:val="single" w:sz="8" w:space="0" w:color="auto"/>
              <w:bottom w:val="single" w:sz="8" w:space="0" w:color="000000"/>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2:</w:t>
            </w:r>
            <w:r w:rsidRPr="00CC51E2">
              <w:rPr>
                <w:rFonts w:ascii="Arial" w:eastAsia="Times New Roman" w:hAnsi="Arial" w:cs="Arial"/>
                <w:sz w:val="20"/>
                <w:szCs w:val="20"/>
                <w:lang w:val="es-ES" w:eastAsia="es-ES"/>
              </w:rPr>
              <w:t xml:space="preserve"> Realizar visitas para supervisar la interventoría, de las obras de Mejoramiento de Vivienda, priorizadas por la Secretaria Distrital del Hábitat, en el área urbana y rural.</w:t>
            </w:r>
          </w:p>
        </w:tc>
        <w:tc>
          <w:tcPr>
            <w:tcW w:w="1480"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8.127</w:t>
            </w:r>
          </w:p>
        </w:tc>
        <w:tc>
          <w:tcPr>
            <w:tcW w:w="1366"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7.514</w:t>
            </w:r>
          </w:p>
        </w:tc>
        <w:tc>
          <w:tcPr>
            <w:tcW w:w="1559" w:type="dxa"/>
            <w:vMerge w:val="restart"/>
            <w:tcBorders>
              <w:top w:val="nil"/>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92,5%</w:t>
            </w:r>
          </w:p>
        </w:tc>
      </w:tr>
      <w:tr w:rsidR="00BF6199" w:rsidRPr="00CC51E2" w:rsidTr="00BF6199">
        <w:trPr>
          <w:trHeight w:val="464"/>
          <w:jc w:val="center"/>
        </w:trPr>
        <w:tc>
          <w:tcPr>
            <w:tcW w:w="4352"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480"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66"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559"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464"/>
          <w:jc w:val="center"/>
        </w:trPr>
        <w:tc>
          <w:tcPr>
            <w:tcW w:w="4352"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480"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66"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559"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835"/>
          <w:jc w:val="center"/>
        </w:trPr>
        <w:tc>
          <w:tcPr>
            <w:tcW w:w="4352" w:type="dxa"/>
            <w:tcBorders>
              <w:top w:val="nil"/>
              <w:left w:val="single" w:sz="8" w:space="0" w:color="auto"/>
              <w:bottom w:val="single" w:sz="8" w:space="0" w:color="auto"/>
              <w:right w:val="single" w:sz="4" w:space="0" w:color="auto"/>
            </w:tcBorders>
            <w:shd w:val="clear" w:color="auto" w:fill="auto"/>
            <w:noWrap/>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lastRenderedPageBreak/>
              <w:t>META 3:</w:t>
            </w:r>
            <w:r w:rsidRPr="00CC51E2">
              <w:rPr>
                <w:rFonts w:ascii="Arial" w:eastAsia="Times New Roman" w:hAnsi="Arial" w:cs="Arial"/>
                <w:sz w:val="20"/>
                <w:szCs w:val="20"/>
                <w:lang w:val="es-ES" w:eastAsia="es-ES"/>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licencias de construcción y/o actos de reconocimiento ante curadurías urbanas.</w:t>
            </w:r>
          </w:p>
        </w:tc>
        <w:tc>
          <w:tcPr>
            <w:tcW w:w="1480" w:type="dxa"/>
            <w:tcBorders>
              <w:top w:val="nil"/>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112</w:t>
            </w:r>
          </w:p>
        </w:tc>
        <w:tc>
          <w:tcPr>
            <w:tcW w:w="1366" w:type="dxa"/>
            <w:tcBorders>
              <w:top w:val="nil"/>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112</w:t>
            </w:r>
          </w:p>
        </w:tc>
        <w:tc>
          <w:tcPr>
            <w:tcW w:w="1559" w:type="dxa"/>
            <w:tcBorders>
              <w:top w:val="nil"/>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100%</w:t>
            </w:r>
          </w:p>
        </w:tc>
      </w:tr>
    </w:tbl>
    <w:p w:rsidR="00BF6199" w:rsidRPr="00CC51E2" w:rsidRDefault="00BF6199" w:rsidP="00BF6199">
      <w:pPr>
        <w:rPr>
          <w:rFonts w:ascii="Arial" w:hAnsi="Arial" w:cs="Arial"/>
          <w:sz w:val="20"/>
          <w:szCs w:val="20"/>
          <w:lang w:val="es-ES_tradnl" w:eastAsia="es-ES"/>
        </w:rPr>
      </w:pPr>
      <w:r w:rsidRPr="00CC51E2">
        <w:rPr>
          <w:rFonts w:ascii="Arial" w:hAnsi="Arial" w:cs="Arial"/>
          <w:sz w:val="20"/>
          <w:szCs w:val="20"/>
          <w:lang w:val="es-ES_tradnl" w:eastAsia="es-ES"/>
        </w:rPr>
        <w:fldChar w:fldCharType="end"/>
      </w:r>
    </w:p>
    <w:p w:rsidR="00BF6199" w:rsidRPr="00CC51E2" w:rsidRDefault="00BF6199" w:rsidP="00BF6199">
      <w:pPr>
        <w:jc w:val="both"/>
        <w:rPr>
          <w:rFonts w:ascii="Arial" w:hAnsi="Arial" w:cs="Arial"/>
          <w:sz w:val="20"/>
          <w:szCs w:val="20"/>
          <w:lang w:val="es-ES_tradnl" w:eastAsia="es-ES"/>
        </w:rPr>
      </w:pPr>
      <w:r w:rsidRPr="00CC51E2">
        <w:rPr>
          <w:rFonts w:ascii="Arial" w:hAnsi="Arial" w:cs="Arial"/>
          <w:sz w:val="20"/>
          <w:szCs w:val="20"/>
          <w:lang w:val="es-ES_tradnl" w:eastAsia="es-ES"/>
        </w:rPr>
        <w:t xml:space="preserve">Como se puede observar en el cuadro anterior, la Dirección de Mejoramiento de Vivienda presenta un excelente porcentaje de cumplimiento en cada una de las metas programada </w:t>
      </w:r>
      <w:r w:rsidRPr="00CC51E2">
        <w:rPr>
          <w:rFonts w:ascii="Arial" w:hAnsi="Arial" w:cs="Arial"/>
          <w:sz w:val="20"/>
          <w:szCs w:val="20"/>
          <w:lang w:eastAsia="es-ES"/>
        </w:rPr>
        <w:t xml:space="preserve">para </w:t>
      </w:r>
      <w:r w:rsidRPr="00CC51E2">
        <w:rPr>
          <w:rFonts w:ascii="Arial" w:hAnsi="Arial" w:cs="Arial"/>
          <w:sz w:val="20"/>
          <w:szCs w:val="20"/>
          <w:lang w:val="es-ES_tradnl" w:eastAsia="es-ES"/>
        </w:rPr>
        <w:t xml:space="preserve">el proyecto de inversión en el </w:t>
      </w:r>
      <w:r w:rsidRPr="00CC51E2">
        <w:rPr>
          <w:rFonts w:ascii="Arial" w:hAnsi="Arial" w:cs="Arial"/>
          <w:sz w:val="20"/>
          <w:szCs w:val="20"/>
          <w:lang w:eastAsia="es-ES"/>
        </w:rPr>
        <w:t>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xml:space="preserve">” </w:t>
      </w:r>
      <w:r w:rsidRPr="00CC51E2">
        <w:rPr>
          <w:rFonts w:ascii="Arial" w:hAnsi="Arial" w:cs="Arial"/>
          <w:sz w:val="20"/>
          <w:szCs w:val="20"/>
          <w:lang w:val="es-ES_tradnl" w:eastAsia="es-ES"/>
        </w:rPr>
        <w:t>durante la vigencia 2017.</w:t>
      </w:r>
    </w:p>
    <w:p w:rsidR="00BF6199" w:rsidRPr="00CC51E2" w:rsidRDefault="00BF6199" w:rsidP="00BF6199">
      <w:pPr>
        <w:overflowPunct w:val="0"/>
        <w:autoSpaceDE w:val="0"/>
        <w:autoSpaceDN w:val="0"/>
        <w:adjustRightInd w:val="0"/>
        <w:jc w:val="both"/>
        <w:textAlignment w:val="baseline"/>
        <w:rPr>
          <w:rFonts w:ascii="Arial" w:hAnsi="Arial" w:cs="Arial"/>
          <w:sz w:val="20"/>
          <w:szCs w:val="20"/>
          <w:lang w:val="es-ES" w:eastAsia="es-ES"/>
        </w:rPr>
      </w:pPr>
      <w:r w:rsidRPr="00CC51E2">
        <w:rPr>
          <w:rFonts w:ascii="Arial" w:hAnsi="Arial" w:cs="Arial"/>
          <w:sz w:val="20"/>
          <w:szCs w:val="20"/>
          <w:lang w:val="es-ES_tradnl" w:eastAsia="es-ES"/>
        </w:rPr>
        <w:t>A continuación, se presenta el cuadro de cumplimiento de metas durante el cuatrienio, con la ejecución a la fecha:</w:t>
      </w:r>
      <w:r w:rsidRPr="00CC51E2">
        <w:rPr>
          <w:rFonts w:ascii="Arial" w:hAnsi="Arial" w:cs="Arial"/>
          <w:sz w:val="20"/>
          <w:szCs w:val="20"/>
          <w:lang w:val="es-ES_tradnl" w:eastAsia="es-ES"/>
        </w:rPr>
        <w:fldChar w:fldCharType="begin"/>
      </w:r>
      <w:r w:rsidRPr="00CC51E2">
        <w:rPr>
          <w:rFonts w:ascii="Arial" w:hAnsi="Arial" w:cs="Arial"/>
          <w:sz w:val="20"/>
          <w:szCs w:val="20"/>
          <w:lang w:val="es-ES_tradnl" w:eastAsia="es-ES"/>
        </w:rPr>
        <w:instrText xml:space="preserve"> LINK Excel.Sheet.12 "C:\\Users\\lgrodriguez\\Desktop\\Documentos Luis Gabriel\\30. RENDICION DE CUENTAS 2016-2017\\RENDICION DE CUENTAS 2017.xlsx" "METAS 2016 Y 2017!F10C2:F15C5" \a \f 4 \h  \* MERGEFORMAT </w:instrText>
      </w:r>
      <w:r w:rsidRPr="00CC51E2">
        <w:rPr>
          <w:rFonts w:ascii="Arial" w:hAnsi="Arial" w:cs="Arial"/>
          <w:sz w:val="20"/>
          <w:szCs w:val="20"/>
          <w:lang w:val="es-ES_tradnl" w:eastAsia="es-ES"/>
        </w:rPr>
        <w:fldChar w:fldCharType="separate"/>
      </w:r>
    </w:p>
    <w:tbl>
      <w:tblPr>
        <w:tblW w:w="9204" w:type="dxa"/>
        <w:jc w:val="center"/>
        <w:tblCellMar>
          <w:left w:w="70" w:type="dxa"/>
          <w:right w:w="70" w:type="dxa"/>
        </w:tblCellMar>
        <w:tblLook w:val="04A0" w:firstRow="1" w:lastRow="0" w:firstColumn="1" w:lastColumn="0" w:noHBand="0" w:noVBand="1"/>
      </w:tblPr>
      <w:tblGrid>
        <w:gridCol w:w="4529"/>
        <w:gridCol w:w="1629"/>
        <w:gridCol w:w="1374"/>
        <w:gridCol w:w="1672"/>
      </w:tblGrid>
      <w:tr w:rsidR="00BF6199" w:rsidRPr="00CC51E2" w:rsidTr="00BD4DF1">
        <w:trPr>
          <w:trHeight w:val="510"/>
          <w:jc w:val="center"/>
        </w:trPr>
        <w:tc>
          <w:tcPr>
            <w:tcW w:w="4529" w:type="dxa"/>
            <w:tcBorders>
              <w:top w:val="single" w:sz="8" w:space="0" w:color="auto"/>
              <w:left w:val="single" w:sz="8" w:space="0" w:color="auto"/>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METAS</w:t>
            </w:r>
          </w:p>
        </w:tc>
        <w:tc>
          <w:tcPr>
            <w:tcW w:w="1629"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PROGRAMADO EN PDD</w:t>
            </w:r>
          </w:p>
        </w:tc>
        <w:tc>
          <w:tcPr>
            <w:tcW w:w="1374"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EJECUTADO A LA FECHA</w:t>
            </w:r>
          </w:p>
        </w:tc>
        <w:tc>
          <w:tcPr>
            <w:tcW w:w="1672" w:type="dxa"/>
            <w:tcBorders>
              <w:top w:val="single" w:sz="8" w:space="0" w:color="auto"/>
              <w:left w:val="nil"/>
              <w:bottom w:val="nil"/>
              <w:right w:val="single" w:sz="8"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EJECUTADO A LA FECHA</w:t>
            </w:r>
          </w:p>
        </w:tc>
      </w:tr>
      <w:tr w:rsidR="00BF6199" w:rsidRPr="00CC51E2" w:rsidTr="00BD4DF1">
        <w:trPr>
          <w:trHeight w:val="1216"/>
          <w:jc w:val="center"/>
        </w:trPr>
        <w:tc>
          <w:tcPr>
            <w:tcW w:w="4529" w:type="dxa"/>
            <w:tcBorders>
              <w:top w:val="single" w:sz="8" w:space="0" w:color="auto"/>
              <w:left w:val="single" w:sz="8" w:space="0" w:color="auto"/>
              <w:bottom w:val="single" w:sz="8" w:space="0" w:color="auto"/>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 xml:space="preserve">META 1: </w:t>
            </w:r>
            <w:r w:rsidRPr="00CC51E2">
              <w:rPr>
                <w:rFonts w:ascii="Arial" w:eastAsia="Times New Roman" w:hAnsi="Arial" w:cs="Arial"/>
                <w:sz w:val="20"/>
                <w:szCs w:val="20"/>
                <w:lang w:val="es-ES" w:eastAsia="es-ES"/>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629"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20.400</w:t>
            </w:r>
          </w:p>
        </w:tc>
        <w:tc>
          <w:tcPr>
            <w:tcW w:w="1374" w:type="dxa"/>
            <w:tcBorders>
              <w:top w:val="single" w:sz="8" w:space="0" w:color="auto"/>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12.020</w:t>
            </w:r>
          </w:p>
        </w:tc>
        <w:tc>
          <w:tcPr>
            <w:tcW w:w="1672"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59%</w:t>
            </w:r>
          </w:p>
        </w:tc>
      </w:tr>
      <w:tr w:rsidR="00BF6199" w:rsidRPr="00CC51E2" w:rsidTr="00BD4DF1">
        <w:trPr>
          <w:trHeight w:val="517"/>
          <w:jc w:val="center"/>
        </w:trPr>
        <w:tc>
          <w:tcPr>
            <w:tcW w:w="4529" w:type="dxa"/>
            <w:vMerge w:val="restart"/>
            <w:tcBorders>
              <w:top w:val="nil"/>
              <w:left w:val="single" w:sz="8" w:space="0" w:color="auto"/>
              <w:bottom w:val="single" w:sz="8" w:space="0" w:color="000000"/>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2:</w:t>
            </w:r>
            <w:r w:rsidRPr="00CC51E2">
              <w:rPr>
                <w:rFonts w:ascii="Arial" w:eastAsia="Times New Roman" w:hAnsi="Arial" w:cs="Arial"/>
                <w:sz w:val="20"/>
                <w:szCs w:val="20"/>
                <w:lang w:val="es-ES" w:eastAsia="es-ES"/>
              </w:rPr>
              <w:t xml:space="preserve"> Realizar visitas para supervisar la interventoría, de las obras de Mejoramiento de Vivienda, priorizadas por la Secretaria Distrital del Hábitat, en el área urbana y rural.</w:t>
            </w:r>
          </w:p>
        </w:tc>
        <w:tc>
          <w:tcPr>
            <w:tcW w:w="1629"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8.610</w:t>
            </w:r>
          </w:p>
        </w:tc>
        <w:tc>
          <w:tcPr>
            <w:tcW w:w="1374"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7.514</w:t>
            </w:r>
          </w:p>
        </w:tc>
        <w:tc>
          <w:tcPr>
            <w:tcW w:w="1672" w:type="dxa"/>
            <w:vMerge w:val="restart"/>
            <w:tcBorders>
              <w:top w:val="nil"/>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87%</w:t>
            </w:r>
          </w:p>
        </w:tc>
      </w:tr>
      <w:tr w:rsidR="00BF6199" w:rsidRPr="00CC51E2" w:rsidTr="00BD4DF1">
        <w:trPr>
          <w:trHeight w:val="464"/>
          <w:jc w:val="center"/>
        </w:trPr>
        <w:tc>
          <w:tcPr>
            <w:tcW w:w="4529"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629"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74"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672"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D4DF1">
        <w:trPr>
          <w:trHeight w:val="464"/>
          <w:jc w:val="center"/>
        </w:trPr>
        <w:tc>
          <w:tcPr>
            <w:tcW w:w="4529"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629"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74"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672"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D4DF1">
        <w:trPr>
          <w:trHeight w:val="547"/>
          <w:jc w:val="center"/>
        </w:trPr>
        <w:tc>
          <w:tcPr>
            <w:tcW w:w="4529" w:type="dxa"/>
            <w:tcBorders>
              <w:top w:val="nil"/>
              <w:left w:val="single" w:sz="8" w:space="0" w:color="auto"/>
              <w:bottom w:val="single" w:sz="8" w:space="0" w:color="auto"/>
              <w:right w:val="single" w:sz="4" w:space="0" w:color="auto"/>
            </w:tcBorders>
            <w:shd w:val="clear" w:color="auto" w:fill="auto"/>
            <w:noWrap/>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3:</w:t>
            </w:r>
            <w:r w:rsidRPr="00CC51E2">
              <w:rPr>
                <w:rFonts w:ascii="Arial" w:eastAsia="Times New Roman" w:hAnsi="Arial" w:cs="Arial"/>
                <w:sz w:val="20"/>
                <w:szCs w:val="20"/>
                <w:lang w:val="es-ES" w:eastAsia="es-ES"/>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w:t>
            </w:r>
            <w:r w:rsidRPr="00CC51E2">
              <w:rPr>
                <w:rFonts w:ascii="Arial" w:eastAsia="Times New Roman" w:hAnsi="Arial" w:cs="Arial"/>
                <w:sz w:val="20"/>
                <w:szCs w:val="20"/>
                <w:lang w:val="es-ES" w:eastAsia="es-ES"/>
              </w:rPr>
              <w:lastRenderedPageBreak/>
              <w:t>licencias de construcción y/o actos de reconocimiento ante curadurías urbanas.</w:t>
            </w:r>
          </w:p>
        </w:tc>
        <w:tc>
          <w:tcPr>
            <w:tcW w:w="1629" w:type="dxa"/>
            <w:tcBorders>
              <w:top w:val="nil"/>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300</w:t>
            </w:r>
          </w:p>
        </w:tc>
        <w:tc>
          <w:tcPr>
            <w:tcW w:w="1374" w:type="dxa"/>
            <w:tcBorders>
              <w:top w:val="nil"/>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112</w:t>
            </w:r>
          </w:p>
        </w:tc>
        <w:tc>
          <w:tcPr>
            <w:tcW w:w="1672" w:type="dxa"/>
            <w:tcBorders>
              <w:top w:val="nil"/>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37%</w:t>
            </w:r>
          </w:p>
        </w:tc>
      </w:tr>
    </w:tbl>
    <w:p w:rsidR="00BF6199" w:rsidRPr="00CC51E2" w:rsidRDefault="00BF6199" w:rsidP="00BF6199">
      <w:pPr>
        <w:rPr>
          <w:rFonts w:ascii="Arial" w:hAnsi="Arial" w:cs="Arial"/>
          <w:sz w:val="20"/>
          <w:szCs w:val="20"/>
          <w:lang w:val="es-ES_tradnl" w:eastAsia="es-ES"/>
        </w:rPr>
      </w:pPr>
      <w:r w:rsidRPr="00CC51E2">
        <w:rPr>
          <w:rFonts w:ascii="Arial" w:hAnsi="Arial" w:cs="Arial"/>
          <w:sz w:val="20"/>
          <w:szCs w:val="20"/>
          <w:lang w:val="es-ES_tradnl" w:eastAsia="es-ES"/>
        </w:rPr>
        <w:fldChar w:fldCharType="end"/>
      </w: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Estructuración y/o Postulación al Subsidios de Mejoramiento de Vivienda:</w:t>
      </w:r>
    </w:p>
    <w:p w:rsidR="00BF6199" w:rsidRPr="00CC51E2" w:rsidRDefault="00BF6199" w:rsidP="00BF6199">
      <w:pPr>
        <w:rPr>
          <w:rFonts w:ascii="Arial" w:hAnsi="Arial" w:cs="Arial"/>
          <w:sz w:val="20"/>
          <w:szCs w:val="20"/>
          <w:lang w:val="es-ES_tradnl"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se incluyó para el cuatrienio la meta “</w:t>
      </w:r>
      <w:r w:rsidRPr="00CC51E2">
        <w:rPr>
          <w:rFonts w:ascii="Arial" w:hAnsi="Arial" w:cs="Arial"/>
          <w:i/>
          <w:sz w:val="20"/>
          <w:szCs w:val="20"/>
          <w:lang w:eastAsia="es-ES"/>
        </w:rPr>
        <w:t>Realizar 20.400 asistencias técnicas, jurídicas y sociales a las intervenciones integrales de mejoramiento de vivienda en los territorios priorizados por la Secretaria Distrital del Hábitat en el área urbana y rural del distrito</w:t>
      </w:r>
      <w:r w:rsidRPr="00CC51E2">
        <w:rPr>
          <w:rFonts w:ascii="Arial" w:hAnsi="Arial" w:cs="Arial"/>
          <w:sz w:val="20"/>
          <w:szCs w:val="20"/>
          <w:lang w:eastAsia="es-ES"/>
        </w:rPr>
        <w:t xml:space="preserve">”. </w:t>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marco de ésta meta, entre julio de 2016 y la vigencia 2017 la Dirección programó 12.109 asistencias técnicas, jurídicas y sociales de aspirantes al subsidio en las áreas priorizadas por la SDHT en proyectos en ejecución de obras que requerían de la identificación de aspirantes al susidio para completar los cupos de los proyectos y en el marco del convenio No.496 de 2016 para aspirar al nuevo subsidio. A 31 de octubre 2017 se han realizado doce mil veinte (12.020) visitas en seis (8) localidades del Distrito, lo que representa un 99.3% de avance, así:</w:t>
      </w:r>
    </w:p>
    <w:p w:rsidR="00BF6199" w:rsidRPr="00CC51E2" w:rsidRDefault="00BF6199" w:rsidP="00BF6199">
      <w:pPr>
        <w:rPr>
          <w:rFonts w:ascii="Arial" w:hAnsi="Arial" w:cs="Arial"/>
          <w:sz w:val="20"/>
          <w:szCs w:val="20"/>
          <w:lang w:val="es-ES_tradnl" w:eastAsia="es-ES"/>
        </w:rPr>
      </w:pPr>
    </w:p>
    <w:tbl>
      <w:tblPr>
        <w:tblW w:w="9395" w:type="dxa"/>
        <w:jc w:val="center"/>
        <w:tblCellMar>
          <w:left w:w="70" w:type="dxa"/>
          <w:right w:w="70" w:type="dxa"/>
        </w:tblCellMar>
        <w:tblLook w:val="04A0" w:firstRow="1" w:lastRow="0" w:firstColumn="1" w:lastColumn="0" w:noHBand="0" w:noVBand="1"/>
      </w:tblPr>
      <w:tblGrid>
        <w:gridCol w:w="1906"/>
        <w:gridCol w:w="4892"/>
        <w:gridCol w:w="1702"/>
        <w:gridCol w:w="895"/>
      </w:tblGrid>
      <w:tr w:rsidR="00BF6199" w:rsidRPr="00CC51E2" w:rsidTr="00BF6199">
        <w:trPr>
          <w:trHeight w:val="315"/>
          <w:tblHeader/>
          <w:jc w:val="center"/>
        </w:trPr>
        <w:tc>
          <w:tcPr>
            <w:tcW w:w="1906" w:type="dxa"/>
            <w:tcBorders>
              <w:top w:val="single" w:sz="4" w:space="0" w:color="auto"/>
              <w:left w:val="single" w:sz="4" w:space="0" w:color="auto"/>
              <w:bottom w:val="single" w:sz="4"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LOCALIDAD</w:t>
            </w:r>
          </w:p>
        </w:tc>
        <w:tc>
          <w:tcPr>
            <w:tcW w:w="4892" w:type="dxa"/>
            <w:tcBorders>
              <w:top w:val="single" w:sz="4" w:space="0" w:color="auto"/>
              <w:left w:val="nil"/>
              <w:bottom w:val="single" w:sz="4"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xml:space="preserve">PROYECTOS </w:t>
            </w:r>
          </w:p>
        </w:tc>
        <w:tc>
          <w:tcPr>
            <w:tcW w:w="1702" w:type="dxa"/>
            <w:tcBorders>
              <w:top w:val="single" w:sz="4" w:space="0" w:color="auto"/>
              <w:left w:val="nil"/>
              <w:bottom w:val="single" w:sz="8" w:space="0" w:color="auto"/>
              <w:right w:val="nil"/>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ACUMULADO</w:t>
            </w:r>
          </w:p>
        </w:tc>
        <w:tc>
          <w:tcPr>
            <w:tcW w:w="895" w:type="dxa"/>
            <w:tcBorders>
              <w:top w:val="single" w:sz="4" w:space="0" w:color="auto"/>
              <w:left w:val="single" w:sz="8" w:space="0" w:color="auto"/>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r>
      <w:tr w:rsidR="00BF6199" w:rsidRPr="00CC51E2" w:rsidTr="00BF6199">
        <w:trPr>
          <w:trHeight w:val="67"/>
          <w:jc w:val="center"/>
        </w:trPr>
        <w:tc>
          <w:tcPr>
            <w:tcW w:w="19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USME</w:t>
            </w:r>
          </w:p>
        </w:tc>
        <w:tc>
          <w:tcPr>
            <w:tcW w:w="48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702" w:type="dxa"/>
            <w:tcBorders>
              <w:top w:val="nil"/>
              <w:left w:val="single" w:sz="4"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2.789</w:t>
            </w:r>
          </w:p>
        </w:tc>
      </w:tr>
      <w:tr w:rsidR="00BF6199" w:rsidRPr="00CC51E2" w:rsidTr="00BF6199">
        <w:trPr>
          <w:trHeight w:val="67"/>
          <w:jc w:val="center"/>
        </w:trPr>
        <w:tc>
          <w:tcPr>
            <w:tcW w:w="1906"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702" w:type="dxa"/>
            <w:tcBorders>
              <w:top w:val="nil"/>
              <w:left w:val="single" w:sz="4"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4" w:space="0" w:color="auto"/>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nil"/>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CVP 2015 - VIOLETAS - USME - HAB </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nil"/>
              <w:bottom w:val="nil"/>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CONVENIO 496 (AII Usminia) </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2.706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21"/>
          <w:jc w:val="center"/>
        </w:trPr>
        <w:tc>
          <w:tcPr>
            <w:tcW w:w="1906"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CIUDAD BOLIVAR</w:t>
            </w:r>
          </w:p>
        </w:tc>
        <w:tc>
          <w:tcPr>
            <w:tcW w:w="4892" w:type="dxa"/>
            <w:tcBorders>
              <w:top w:val="single" w:sz="8" w:space="0" w:color="auto"/>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JESURALEN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8.506</w:t>
            </w: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6"/>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12"/>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1</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CASAGRANDE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LUCERO- CIUDAD BOLIVAR-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84"/>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31</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90"/>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CONVENIO 496 (AII Borde Rural) </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3.908</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CONVENIO 496 (AII Borde Soacha) </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4.320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tcBorders>
              <w:top w:val="nil"/>
              <w:left w:val="single" w:sz="4"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RAFAEL URIBE URIBE</w:t>
            </w: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tcBorders>
              <w:top w:val="nil"/>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BOSA</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66</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76</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VICTIMAS Y DISPERSOS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SUBA</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61</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141</w:t>
            </w:r>
          </w:p>
        </w:tc>
      </w:tr>
      <w:tr w:rsidR="00BF6199" w:rsidRPr="00CC51E2" w:rsidTr="00BF6199">
        <w:trPr>
          <w:trHeight w:val="82"/>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RINCON - SUBA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tcBorders>
              <w:top w:val="nil"/>
              <w:left w:val="single" w:sz="4"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LA CANDELARIA</w:t>
            </w: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tcBorders>
              <w:top w:val="nil"/>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USAQUEN</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SAN CRISTOBAL</w:t>
            </w:r>
          </w:p>
        </w:tc>
        <w:tc>
          <w:tcPr>
            <w:tcW w:w="4892" w:type="dxa"/>
            <w:tcBorders>
              <w:top w:val="nil"/>
              <w:left w:val="nil"/>
              <w:bottom w:val="single" w:sz="4" w:space="0" w:color="auto"/>
              <w:right w:val="nil"/>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CVP 2015 - SAN BLAS - SAN CRISTOBAL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496</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CONVENIO 496 (AII Alto Fucha)</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484</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238"/>
          <w:jc w:val="center"/>
        </w:trPr>
        <w:tc>
          <w:tcPr>
            <w:tcW w:w="6798" w:type="dxa"/>
            <w:gridSpan w:val="2"/>
            <w:tcBorders>
              <w:top w:val="single" w:sz="8" w:space="0" w:color="auto"/>
              <w:left w:val="single" w:sz="4" w:space="0" w:color="auto"/>
              <w:bottom w:val="single" w:sz="4"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c>
          <w:tcPr>
            <w:tcW w:w="2597" w:type="dxa"/>
            <w:gridSpan w:val="2"/>
            <w:tcBorders>
              <w:top w:val="single" w:sz="8" w:space="0" w:color="auto"/>
              <w:left w:val="nil"/>
              <w:bottom w:val="single" w:sz="4" w:space="0" w:color="auto"/>
              <w:right w:val="single" w:sz="4" w:space="0" w:color="auto"/>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12.020</w:t>
            </w:r>
          </w:p>
        </w:tc>
      </w:tr>
    </w:tbl>
    <w:p w:rsidR="00BF6199" w:rsidRPr="00CC51E2" w:rsidRDefault="00BF6199" w:rsidP="00BF6199">
      <w:pPr>
        <w:jc w:val="center"/>
        <w:rPr>
          <w:rFonts w:ascii="Arial" w:hAnsi="Arial" w:cs="Arial"/>
          <w:color w:val="FF0000"/>
          <w:sz w:val="20"/>
          <w:szCs w:val="20"/>
          <w:lang w:val="es-ES_tradnl" w:eastAsia="es-ES"/>
        </w:rPr>
      </w:pPr>
      <w:r w:rsidRPr="00CC51E2">
        <w:rPr>
          <w:rFonts w:ascii="Arial" w:hAnsi="Arial" w:cs="Arial"/>
          <w:noProof/>
          <w:color w:val="FF0000"/>
          <w:sz w:val="20"/>
          <w:szCs w:val="20"/>
          <w:lang w:val="es-ES" w:eastAsia="es-ES"/>
        </w:rPr>
        <w:drawing>
          <wp:inline distT="0" distB="0" distL="0" distR="0" wp14:anchorId="11B5A817" wp14:editId="00FE4630">
            <wp:extent cx="4810125" cy="3448050"/>
            <wp:effectExtent l="0" t="0" r="9525" b="0"/>
            <wp:docPr id="36" name="Imagen 36" descr="RENDICION DE CUENTAS 2017 ME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NDICION DE CUENTAS 2017 META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0125" cy="3448050"/>
                    </a:xfrm>
                    <a:prstGeom prst="rect">
                      <a:avLst/>
                    </a:prstGeom>
                    <a:noFill/>
                    <a:ln>
                      <a:noFill/>
                    </a:ln>
                  </pic:spPr>
                </pic:pic>
              </a:graphicData>
            </a:graphic>
          </wp:inline>
        </w:drawing>
      </w:r>
    </w:p>
    <w:p w:rsidR="00BD4DF1" w:rsidRDefault="00BD4DF1" w:rsidP="00BF6199">
      <w:pPr>
        <w:jc w:val="both"/>
        <w:rPr>
          <w:rFonts w:ascii="Arial" w:hAnsi="Arial" w:cs="Arial"/>
          <w:sz w:val="20"/>
          <w:szCs w:val="20"/>
        </w:rPr>
      </w:pPr>
    </w:p>
    <w:p w:rsidR="00BF6199" w:rsidRPr="00CC51E2" w:rsidRDefault="00BF6199" w:rsidP="00BF6199">
      <w:pPr>
        <w:jc w:val="both"/>
        <w:rPr>
          <w:rFonts w:ascii="Arial" w:hAnsi="Arial" w:cs="Arial"/>
          <w:color w:val="FF0000"/>
          <w:sz w:val="20"/>
          <w:szCs w:val="20"/>
          <w:lang w:val="es-ES_tradnl" w:eastAsia="es-ES"/>
        </w:rPr>
      </w:pPr>
      <w:r w:rsidRPr="00CC51E2">
        <w:rPr>
          <w:rFonts w:ascii="Arial" w:hAnsi="Arial" w:cs="Arial"/>
          <w:sz w:val="20"/>
          <w:szCs w:val="20"/>
        </w:rPr>
        <w:lastRenderedPageBreak/>
        <w:t>La Dirección de Mejoramiento de Vivienda – DMV suscribió el convenio interadministrativo No.496 de 2016 con la Secretaría Distrital del Hábitat - SDHT, el cual tiene como objeto “</w:t>
      </w:r>
      <w:r w:rsidRPr="00CC51E2">
        <w:rPr>
          <w:rFonts w:ascii="Arial" w:hAnsi="Arial" w:cs="Arial"/>
          <w:i/>
          <w:sz w:val="20"/>
          <w:szCs w:val="20"/>
        </w:rPr>
        <w:t>Aunar esfuerzos técnicos, financieros y administrativos entre la Secretaría Distrital del Hábitat y la Caja de la Vivienda Popular para ejecutar la etapa de estructuración de proyectos para las intervenciones de mejoramiento de vivienda en la modalidad de habitabilidad, en el marco de las intervenciones integrales de mejoramiento según el Plan de Desarrollo Distrital 2016- 2020 “Bogotá Mejora para Todos”</w:t>
      </w:r>
      <w:r w:rsidRPr="00CC51E2">
        <w:rPr>
          <w:rFonts w:ascii="Arial" w:hAnsi="Arial" w:cs="Arial"/>
          <w:sz w:val="20"/>
          <w:szCs w:val="20"/>
        </w:rPr>
        <w:t xml:space="preserve">. </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el desarrollo de este convenio la SDHT priorizó inicialmente tres (3) áreas de intervención integral: TCO Cerros Surorientales - AII Alto Fucha con 1.931 lotes, TCO Ciudad Bolívar – Cable – AII Borde Rural con 4.927 lotes, Ciudad Bolívar – Borde Soacha con 8.843 lotes. Posteriormente, la SDHT priorizó en el mes de junio de 2017 un cuarto (4) territorio, el AII Usminia con 6.003 lotes. Donde se realizaron labores de identificación de aspirantes al subsidio de mejoramiento de vivienda en especie en la modalidad de habitabilidad, con el fin de ser presentados a la SDHT.</w:t>
      </w:r>
    </w:p>
    <w:p w:rsidR="00BF6199" w:rsidRPr="00CC51E2" w:rsidRDefault="00BF6199" w:rsidP="00BF6199">
      <w:pPr>
        <w:jc w:val="both"/>
        <w:rPr>
          <w:rFonts w:ascii="Arial" w:hAnsi="Arial" w:cs="Arial"/>
          <w:sz w:val="20"/>
          <w:szCs w:val="20"/>
        </w:rPr>
      </w:pPr>
      <w:r w:rsidRPr="00CC51E2">
        <w:rPr>
          <w:rFonts w:ascii="Arial" w:hAnsi="Arial" w:cs="Arial"/>
          <w:sz w:val="20"/>
          <w:szCs w:val="20"/>
        </w:rPr>
        <w:t>El componente técnico del convenio, representa las actividades necesarias para la identificación, análisis y definición de las condiciones físicas y normativas de las viviendas a intervenir que permitan establecer el cumplimiento de los requisitos técnicos para la aplicación del subsidio.</w:t>
      </w:r>
    </w:p>
    <w:p w:rsidR="00BF6199" w:rsidRPr="00CC51E2" w:rsidRDefault="00BF6199" w:rsidP="00BF6199">
      <w:pPr>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35D74C05" wp14:editId="1F8C3895">
            <wp:extent cx="5172075" cy="3990975"/>
            <wp:effectExtent l="0" t="0" r="9525" b="9525"/>
            <wp:docPr id="35" name="Imagen 35" descr="PROYECTOS ESTRUCTURADOS 1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YECTOS ESTRUCTURADOS 151120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3990975"/>
                    </a:xfrm>
                    <a:prstGeom prst="rect">
                      <a:avLst/>
                    </a:prstGeom>
                    <a:noFill/>
                    <a:ln>
                      <a:noFill/>
                    </a:ln>
                  </pic:spPr>
                </pic:pic>
              </a:graphicData>
            </a:graphic>
          </wp:inline>
        </w:drawing>
      </w:r>
    </w:p>
    <w:p w:rsidR="00BD4DF1" w:rsidRDefault="00BD4DF1" w:rsidP="00BF6199">
      <w:pPr>
        <w:jc w:val="both"/>
        <w:rPr>
          <w:rFonts w:ascii="Arial" w:hAnsi="Arial" w:cs="Arial"/>
          <w:sz w:val="20"/>
          <w:szCs w:val="20"/>
        </w:rPr>
      </w:pPr>
    </w:p>
    <w:p w:rsidR="00BD4DF1" w:rsidRDefault="00BD4DF1"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Al 31 de octubre de 2017, la CVP ha hecho la entrega a la SDHT los cuatro proyectos establecidos en el convenio, conteniendo 1.24</w:t>
      </w:r>
      <w:r w:rsidR="00853562">
        <w:rPr>
          <w:rFonts w:ascii="Arial" w:hAnsi="Arial" w:cs="Arial"/>
          <w:sz w:val="20"/>
          <w:szCs w:val="20"/>
        </w:rPr>
        <w:t>1</w:t>
      </w:r>
      <w:r w:rsidRPr="00CC51E2">
        <w:rPr>
          <w:rFonts w:ascii="Arial" w:hAnsi="Arial" w:cs="Arial"/>
          <w:sz w:val="20"/>
          <w:szCs w:val="20"/>
        </w:rPr>
        <w:t xml:space="preserve"> hogares estructurados, 97 en Alto Fucha, 381 en Borde Rural, 517 en Borde Soacha y 246 en Usminia.</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la estructuración de estos proyectos, se realizó la revisión cartográfica de los 23.186 predios que conforman las cuatro AII incluidas en el convenio, de los cuales 11.458 cumplían con los requerimientos de avalúo catastral y uso establecidos en la Resolución 060 de 2017 (576 Alto Fucha, 2530 Borde Rural, 4.508 Borde Soacha y 3.841 Usminia), dejándolos como pre-viables y así continuar en la siguiente etapa.</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Para las dos primeras áreas, los predios pre-viables fueron visitados con el fin de, elaborar la caracterización física de las viviendas y socio-económica de las familias que las habitan y de esta manera clasificar el tipo de intervención requerida para el hogar. 707 hogares en Alto Fucha y 1770 en Borde Rural fueron clasificados para habitabilidad. En el AII se visitaron los hogares pre-viables y se les solicitó la entrega de la documentación para continuar con el proceso de viabilidad. 2.730 hogares en estos dos últimos territorios hicieron entrega de la documentación respectiva. </w:t>
      </w:r>
    </w:p>
    <w:p w:rsidR="00BF6199" w:rsidRPr="00CC51E2" w:rsidRDefault="00BF6199" w:rsidP="00BF6199">
      <w:pPr>
        <w:jc w:val="both"/>
        <w:rPr>
          <w:rFonts w:ascii="Arial" w:hAnsi="Arial" w:cs="Arial"/>
          <w:noProof/>
          <w:sz w:val="20"/>
          <w:szCs w:val="20"/>
          <w:lang w:val="es-ES" w:eastAsia="es-ES"/>
        </w:rPr>
      </w:pPr>
      <w:r w:rsidRPr="00CC51E2">
        <w:rPr>
          <w:rFonts w:ascii="Arial" w:hAnsi="Arial" w:cs="Arial"/>
          <w:noProof/>
          <w:sz w:val="20"/>
          <w:szCs w:val="20"/>
          <w:lang w:val="es-ES" w:eastAsia="es-ES"/>
        </w:rPr>
        <w:t>Posteriormente, se realizaron los estudios, análisis y conceptos de viabilidad técnica a cada uno de los hogares clasificados en habitabilidad, en donde se verificó el cumplimiento de los requisitos legales establecidos en la Resolución 060 de 2017. 107 hogares en Alto Fucha, 424 hogares en Borde Rural, 540 hogares en Borde Soacha y 649 hogares en Usminia los cumplian, es decir resultaron viables para ser postulados al subsidio ante la SDHT.</w:t>
      </w:r>
    </w:p>
    <w:p w:rsidR="00BF6199" w:rsidRPr="00CC51E2" w:rsidRDefault="00BF6199" w:rsidP="00BF6199">
      <w:pPr>
        <w:jc w:val="both"/>
        <w:rPr>
          <w:rFonts w:ascii="Arial" w:hAnsi="Arial" w:cs="Arial"/>
          <w:noProof/>
          <w:sz w:val="20"/>
          <w:szCs w:val="20"/>
          <w:lang w:val="es-ES" w:eastAsia="es-ES"/>
        </w:rPr>
      </w:pPr>
      <w:r w:rsidRPr="00CC51E2">
        <w:rPr>
          <w:rFonts w:ascii="Arial" w:hAnsi="Arial" w:cs="Arial"/>
          <w:noProof/>
          <w:sz w:val="20"/>
          <w:szCs w:val="20"/>
          <w:lang w:val="es-ES" w:eastAsia="es-ES"/>
        </w:rPr>
        <w:t>Luego, se requirió adelantar el proceso de diagnóstico de estos hogares, para lo que se programaron visitas a cada uno de ellos, en donde se priorizó y se detalló cada una de las intervenciones requeridas. Se realizaron 97 diagnósticos en Alto Fucha, 381 en Borde Rural, 517 en Borde Soacha y 246 en Usminia, elaborandoles el presupuesto individual, identificando las cantidades de obra requeridas y los costos asociados y elaborando el análisis de precios unitarios.</w:t>
      </w:r>
    </w:p>
    <w:p w:rsidR="00BF6199" w:rsidRDefault="00BF6199" w:rsidP="00BF6199">
      <w:pPr>
        <w:jc w:val="both"/>
        <w:rPr>
          <w:rFonts w:ascii="Arial" w:hAnsi="Arial" w:cs="Arial"/>
          <w:sz w:val="20"/>
          <w:szCs w:val="20"/>
        </w:rPr>
      </w:pPr>
      <w:r w:rsidRPr="00CC51E2">
        <w:rPr>
          <w:rFonts w:ascii="Arial" w:hAnsi="Arial" w:cs="Arial"/>
          <w:noProof/>
          <w:sz w:val="20"/>
          <w:szCs w:val="20"/>
          <w:lang w:val="es-ES" w:eastAsia="es-ES"/>
        </w:rPr>
        <w:t xml:space="preserve">Finalmente, para cada una de las AII, y a partir de los resultados de los diagnósticos individuales, se estructuró un diagnóstico general conteniendo las características de la gestión realizada en estos territorios. </w:t>
      </w:r>
      <w:r w:rsidRPr="00CC51E2">
        <w:rPr>
          <w:rFonts w:ascii="Arial" w:hAnsi="Arial" w:cs="Arial"/>
          <w:sz w:val="20"/>
          <w:szCs w:val="20"/>
        </w:rPr>
        <w:t>En el siguiente cuadro, se presenta el resultado al avance del componente técnico en cada uno de los territorios.</w:t>
      </w:r>
    </w:p>
    <w:p w:rsidR="00BD4DF1" w:rsidRPr="00CC51E2" w:rsidRDefault="00BD4DF1" w:rsidP="00BF6199">
      <w:pPr>
        <w:jc w:val="both"/>
        <w:rPr>
          <w:rFonts w:ascii="Arial" w:hAnsi="Arial" w:cs="Arial"/>
          <w:noProof/>
          <w:sz w:val="20"/>
          <w:szCs w:val="20"/>
          <w:lang w:val="es-ES" w:eastAsia="es-ES"/>
        </w:rPr>
      </w:pPr>
    </w:p>
    <w:tbl>
      <w:tblPr>
        <w:tblW w:w="5300" w:type="dxa"/>
        <w:jc w:val="center"/>
        <w:tblCellMar>
          <w:left w:w="70" w:type="dxa"/>
          <w:right w:w="70" w:type="dxa"/>
        </w:tblCellMar>
        <w:tblLook w:val="04A0" w:firstRow="1" w:lastRow="0" w:firstColumn="1" w:lastColumn="0" w:noHBand="0" w:noVBand="1"/>
      </w:tblPr>
      <w:tblGrid>
        <w:gridCol w:w="1700"/>
        <w:gridCol w:w="1918"/>
        <w:gridCol w:w="1974"/>
      </w:tblGrid>
      <w:tr w:rsidR="00BF6199" w:rsidRPr="00CC51E2" w:rsidTr="00BF6199">
        <w:trPr>
          <w:trHeight w:val="600"/>
          <w:jc w:val="center"/>
        </w:trPr>
        <w:tc>
          <w:tcPr>
            <w:tcW w:w="170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ÁREA DE INTERVENCIÓN</w:t>
            </w:r>
          </w:p>
        </w:tc>
        <w:tc>
          <w:tcPr>
            <w:tcW w:w="1918" w:type="dxa"/>
            <w:tcBorders>
              <w:top w:val="single" w:sz="4" w:space="0" w:color="auto"/>
              <w:left w:val="nil"/>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LOCALIDAD</w:t>
            </w:r>
          </w:p>
        </w:tc>
        <w:tc>
          <w:tcPr>
            <w:tcW w:w="1682" w:type="dxa"/>
            <w:tcBorders>
              <w:top w:val="single" w:sz="4" w:space="0" w:color="auto"/>
              <w:left w:val="nil"/>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PREDIOS DIAGNOSTICADOS</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ALTO FUCHA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SAN CRISTOBAL</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97</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BORDE RURAL</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CIUDAD BOLIVAR</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381</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lastRenderedPageBreak/>
              <w:t>BORDE SOACHA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CIUDAD BOLIVAR</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517</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USMINIA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USME</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246</w:t>
            </w:r>
          </w:p>
        </w:tc>
      </w:tr>
      <w:tr w:rsidR="00BF6199" w:rsidRPr="00CC51E2" w:rsidTr="00BF6199">
        <w:trPr>
          <w:trHeight w:val="300"/>
          <w:jc w:val="center"/>
        </w:trPr>
        <w:tc>
          <w:tcPr>
            <w:tcW w:w="3618" w:type="dxa"/>
            <w:gridSpan w:val="2"/>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c>
          <w:tcPr>
            <w:tcW w:w="1682" w:type="dxa"/>
            <w:tcBorders>
              <w:top w:val="nil"/>
              <w:left w:val="nil"/>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1.241</w:t>
            </w:r>
          </w:p>
        </w:tc>
      </w:tr>
    </w:tbl>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Seguimiento Interventoría de Obra de los Subsidios de Mejoramiento de Vivienda en Ejecución:</w:t>
      </w:r>
    </w:p>
    <w:p w:rsidR="00BF6199" w:rsidRPr="00CC51E2" w:rsidRDefault="00BF6199" w:rsidP="00BF6199">
      <w:pPr>
        <w:rPr>
          <w:rFonts w:ascii="Arial" w:hAnsi="Arial" w:cs="Arial"/>
          <w:sz w:val="20"/>
          <w:szCs w:val="20"/>
          <w:lang w:val="es-ES_tradnl"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incluyó para el cuatrienio la meta “</w:t>
      </w:r>
      <w:r w:rsidRPr="00CC51E2">
        <w:rPr>
          <w:rFonts w:ascii="Arial" w:hAnsi="Arial" w:cs="Arial"/>
          <w:i/>
          <w:sz w:val="20"/>
          <w:szCs w:val="20"/>
          <w:lang w:eastAsia="es-ES"/>
        </w:rPr>
        <w:t>Realizar 8.610 visitas para supervisar la interventoría de las obras de Mejoramiento de Vivienda, priorizadas por la Secretaria Distrital del Hábitat, en el área urbana y rural</w:t>
      </w:r>
      <w:r w:rsidRPr="00CC51E2">
        <w:rPr>
          <w:rFonts w:ascii="Arial" w:hAnsi="Arial" w:cs="Arial"/>
          <w:sz w:val="20"/>
          <w:szCs w:val="20"/>
          <w:lang w:eastAsia="es-ES"/>
        </w:rPr>
        <w:t xml:space="preserve">”. </w:t>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La ejecución de las obras de mejoramiento en estos hogares permitirá mejorar las condiciones de habitabilidad de las viviendas que han recibido el subsidio de la SDHT, con lo cual se espera garantizar el derecho a la vida y a una vivienda digna.</w:t>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Para dar cumplimiento a esta meta, entre julio de 2016 y la vigencia 2017 la Dirección programo un total de 8.127 visitas para supervisar la interventoría de las obras durante la vigencia 2017, en lo que va corrido del PDD se han realizado 7.514 asistencias técnicas, lo que ha permitido caracterizar socialmente 1.493 hogares en las localidades de Ciudad Bolívar, Bosa, Usme, Usaquén, Rafael Uribe Uribe, San Cristóbal, La Candelaria y Suba con un total de 5.461 personas beneficiadas hasta el momento, para un porcentaje de ejecución de meta del 92.5% en lo que va corrido de la vigencia 2017.</w:t>
      </w:r>
    </w:p>
    <w:tbl>
      <w:tblPr>
        <w:tblW w:w="9244" w:type="dxa"/>
        <w:tblInd w:w="80" w:type="dxa"/>
        <w:tblCellMar>
          <w:left w:w="70" w:type="dxa"/>
          <w:right w:w="70" w:type="dxa"/>
        </w:tblCellMar>
        <w:tblLook w:val="04A0" w:firstRow="1" w:lastRow="0" w:firstColumn="1" w:lastColumn="0" w:noHBand="0" w:noVBand="1"/>
      </w:tblPr>
      <w:tblGrid>
        <w:gridCol w:w="1463"/>
        <w:gridCol w:w="5204"/>
        <w:gridCol w:w="1451"/>
        <w:gridCol w:w="1126"/>
      </w:tblGrid>
      <w:tr w:rsidR="00BF6199" w:rsidRPr="00CC51E2" w:rsidTr="00BF6199">
        <w:trPr>
          <w:trHeight w:val="315"/>
          <w:tblHeader/>
        </w:trPr>
        <w:tc>
          <w:tcPr>
            <w:tcW w:w="1463" w:type="dxa"/>
            <w:tcBorders>
              <w:top w:val="single" w:sz="8" w:space="0" w:color="auto"/>
              <w:left w:val="single" w:sz="8" w:space="0" w:color="auto"/>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LOCALIDAD</w:t>
            </w:r>
          </w:p>
        </w:tc>
        <w:tc>
          <w:tcPr>
            <w:tcW w:w="5204" w:type="dxa"/>
            <w:tcBorders>
              <w:top w:val="single" w:sz="8" w:space="0" w:color="auto"/>
              <w:left w:val="nil"/>
              <w:bottom w:val="single" w:sz="8" w:space="0" w:color="auto"/>
              <w:right w:val="nil"/>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xml:space="preserve">PROYECTOS </w:t>
            </w:r>
          </w:p>
        </w:tc>
        <w:tc>
          <w:tcPr>
            <w:tcW w:w="1451" w:type="dxa"/>
            <w:tcBorders>
              <w:top w:val="single" w:sz="8" w:space="0" w:color="auto"/>
              <w:left w:val="single" w:sz="8" w:space="0" w:color="auto"/>
              <w:bottom w:val="nil"/>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ACUMULADO</w:t>
            </w:r>
          </w:p>
        </w:tc>
        <w:tc>
          <w:tcPr>
            <w:tcW w:w="1126"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r>
      <w:tr w:rsidR="00BF6199" w:rsidRPr="00CC51E2" w:rsidTr="00BF6199">
        <w:trPr>
          <w:trHeight w:val="172"/>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USME</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45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79</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1039</w:t>
            </w:r>
          </w:p>
        </w:tc>
      </w:tr>
      <w:tr w:rsidR="00BF6199" w:rsidRPr="00CC51E2" w:rsidTr="00BF6199">
        <w:trPr>
          <w:trHeight w:val="103"/>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216</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257</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320</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CVP 2015 - VIOLETAS - USME - HAB </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167</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44"/>
        </w:trPr>
        <w:tc>
          <w:tcPr>
            <w:tcW w:w="1463" w:type="dxa"/>
            <w:vMerge w:val="restart"/>
            <w:tcBorders>
              <w:top w:val="nil"/>
              <w:left w:val="single" w:sz="8"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CIUDAD BOLIVAR</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JESURALEN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314</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4558</w:t>
            </w:r>
          </w:p>
        </w:tc>
      </w:tr>
      <w:tr w:rsidR="00BF6199" w:rsidRPr="00CC51E2" w:rsidTr="00BF6199">
        <w:trPr>
          <w:trHeight w:val="90"/>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138</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96"/>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799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69"/>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2</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773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191</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259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1</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219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2</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125</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42"/>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230</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CASAGRANDE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293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2015-LUCERO- CIUDAD BOLIVAR-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8"/>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512</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28"/>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2</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244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tcBorders>
              <w:top w:val="nil"/>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RAFAEL URIBE URIBE</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147</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147</w:t>
            </w:r>
          </w:p>
        </w:tc>
      </w:tr>
      <w:tr w:rsidR="00BF6199" w:rsidRPr="00CC51E2" w:rsidTr="00BF6199">
        <w:trPr>
          <w:trHeight w:val="94"/>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BOSA</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270</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616</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VICTIMAS Y DISPERSOS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346</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0"/>
        </w:trPr>
        <w:tc>
          <w:tcPr>
            <w:tcW w:w="1463"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SAN CRISTOBAL</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BLAS - SAN CRISTOBAL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131</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131</w:t>
            </w:r>
          </w:p>
        </w:tc>
      </w:tr>
      <w:tr w:rsidR="00BF6199" w:rsidRPr="00CC51E2" w:rsidTr="00BF6199">
        <w:trPr>
          <w:trHeight w:val="75"/>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SUBA</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104</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272</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RINCON - SUBA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168</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LA CANDELARIA</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282</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282</w:t>
            </w:r>
          </w:p>
        </w:tc>
      </w:tr>
      <w:tr w:rsidR="00BF6199" w:rsidRPr="00CC51E2" w:rsidTr="00BF6199">
        <w:trPr>
          <w:trHeight w:val="75"/>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USAQUEN</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207</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469</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262</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405"/>
        </w:trPr>
        <w:tc>
          <w:tcPr>
            <w:tcW w:w="6667" w:type="dxa"/>
            <w:gridSpan w:val="2"/>
            <w:tcBorders>
              <w:top w:val="single" w:sz="8" w:space="0" w:color="auto"/>
              <w:left w:val="single" w:sz="8" w:space="0" w:color="auto"/>
              <w:bottom w:val="single" w:sz="8"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c>
          <w:tcPr>
            <w:tcW w:w="2577" w:type="dxa"/>
            <w:gridSpan w:val="2"/>
            <w:tcBorders>
              <w:top w:val="single" w:sz="8" w:space="0" w:color="auto"/>
              <w:left w:val="nil"/>
              <w:bottom w:val="single" w:sz="8"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7514</w:t>
            </w:r>
          </w:p>
        </w:tc>
      </w:tr>
    </w:tbl>
    <w:p w:rsidR="00BF6199" w:rsidRPr="00CC51E2" w:rsidRDefault="00BF6199" w:rsidP="00BF6199">
      <w:pPr>
        <w:jc w:val="center"/>
        <w:rPr>
          <w:rFonts w:ascii="Arial" w:hAnsi="Arial" w:cs="Arial"/>
          <w:sz w:val="20"/>
          <w:szCs w:val="20"/>
          <w:lang w:val="es-ES_tradnl" w:eastAsia="es-ES"/>
        </w:rPr>
      </w:pPr>
      <w:r w:rsidRPr="00CC51E2">
        <w:rPr>
          <w:rFonts w:ascii="Arial" w:hAnsi="Arial" w:cs="Arial"/>
          <w:noProof/>
          <w:sz w:val="20"/>
          <w:szCs w:val="20"/>
          <w:lang w:val="es-ES" w:eastAsia="es-ES"/>
        </w:rPr>
        <w:drawing>
          <wp:inline distT="0" distB="0" distL="0" distR="0" wp14:anchorId="6163661F" wp14:editId="3D51A3BB">
            <wp:extent cx="5600700" cy="4333875"/>
            <wp:effectExtent l="0" t="0" r="0" b="9525"/>
            <wp:docPr id="34" name="Imagen 34" descr="RENDICION DE CUENTAS 2017 ME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NDICION DE CUENTAS 2017 META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0700" cy="4333875"/>
                    </a:xfrm>
                    <a:prstGeom prst="rect">
                      <a:avLst/>
                    </a:prstGeom>
                    <a:noFill/>
                    <a:ln>
                      <a:noFill/>
                    </a:ln>
                  </pic:spPr>
                </pic:pic>
              </a:graphicData>
            </a:graphic>
          </wp:inline>
        </w:drawing>
      </w:r>
    </w:p>
    <w:p w:rsidR="00BF6199" w:rsidRPr="00CC51E2" w:rsidRDefault="00BF6199" w:rsidP="00BF6199">
      <w:pPr>
        <w:jc w:val="both"/>
        <w:rPr>
          <w:rFonts w:ascii="Arial" w:hAnsi="Arial" w:cs="Arial"/>
          <w:sz w:val="20"/>
          <w:szCs w:val="20"/>
          <w:lang w:val="es-ES_tradnl" w:eastAsia="es-ES"/>
        </w:rPr>
      </w:pPr>
      <w:r w:rsidRPr="00CC51E2">
        <w:rPr>
          <w:rFonts w:ascii="Arial" w:hAnsi="Arial" w:cs="Arial"/>
          <w:sz w:val="20"/>
          <w:szCs w:val="20"/>
          <w:lang w:eastAsia="es-ES"/>
        </w:rPr>
        <w:lastRenderedPageBreak/>
        <w:t>Estas visitas tienen como propósito hacer seguimiento a la ejecución de las obras de mejoramiento, para que la interventoría del proyecto exija el cumplimiento de cronogramas, especificaciones técnicas y calidad de obra concertadas inicialmente, salvaguardando los derechos de los beneficiarios. Las obras terminadas en cada uno de los proyectos al 31 de octubre de 2017 se muestran en el siguiente cuadro:</w:t>
      </w:r>
    </w:p>
    <w:tbl>
      <w:tblPr>
        <w:tblW w:w="8529" w:type="dxa"/>
        <w:tblInd w:w="80" w:type="dxa"/>
        <w:tblCellMar>
          <w:left w:w="70" w:type="dxa"/>
          <w:right w:w="70" w:type="dxa"/>
        </w:tblCellMar>
        <w:tblLook w:val="04A0" w:firstRow="1" w:lastRow="0" w:firstColumn="1" w:lastColumn="0" w:noHBand="0" w:noVBand="1"/>
      </w:tblPr>
      <w:tblGrid>
        <w:gridCol w:w="1975"/>
        <w:gridCol w:w="5103"/>
        <w:gridCol w:w="1451"/>
      </w:tblGrid>
      <w:tr w:rsidR="00BF6199" w:rsidRPr="00CC51E2" w:rsidTr="00BF6199">
        <w:trPr>
          <w:trHeight w:val="255"/>
        </w:trPr>
        <w:tc>
          <w:tcPr>
            <w:tcW w:w="1975" w:type="dxa"/>
            <w:tcBorders>
              <w:top w:val="single" w:sz="8" w:space="0" w:color="auto"/>
              <w:left w:val="single" w:sz="8" w:space="0" w:color="auto"/>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LOCALIDAD</w:t>
            </w:r>
          </w:p>
        </w:tc>
        <w:tc>
          <w:tcPr>
            <w:tcW w:w="5103" w:type="dxa"/>
            <w:tcBorders>
              <w:top w:val="single" w:sz="8" w:space="0" w:color="auto"/>
              <w:left w:val="nil"/>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PROYECTO</w:t>
            </w:r>
          </w:p>
        </w:tc>
        <w:tc>
          <w:tcPr>
            <w:tcW w:w="145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ACUMULADO</w:t>
            </w:r>
          </w:p>
        </w:tc>
      </w:tr>
      <w:tr w:rsidR="00BF6199" w:rsidRPr="00CC51E2" w:rsidTr="00BF6199">
        <w:trPr>
          <w:trHeight w:val="75"/>
        </w:trPr>
        <w:tc>
          <w:tcPr>
            <w:tcW w:w="197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BOSA</w:t>
            </w:r>
          </w:p>
        </w:tc>
        <w:tc>
          <w:tcPr>
            <w:tcW w:w="5103"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451"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53</w:t>
            </w:r>
          </w:p>
        </w:tc>
      </w:tr>
      <w:tr w:rsidR="00BF6199" w:rsidRPr="00CC51E2" w:rsidTr="00BF6199">
        <w:trPr>
          <w:trHeight w:val="92"/>
        </w:trPr>
        <w:tc>
          <w:tcPr>
            <w:tcW w:w="1975" w:type="dxa"/>
            <w:vMerge/>
            <w:tcBorders>
              <w:top w:val="nil"/>
              <w:left w:val="single" w:sz="8"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Y DISPERSOS VICTIMAS - HAB</w:t>
            </w:r>
          </w:p>
        </w:tc>
        <w:tc>
          <w:tcPr>
            <w:tcW w:w="1451"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60</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CIUDAD BOLIVAR</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85</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w:t>
            </w:r>
          </w:p>
        </w:tc>
      </w:tr>
      <w:tr w:rsidR="00BF6199" w:rsidRPr="00CC51E2" w:rsidTr="00BF6199">
        <w:trPr>
          <w:trHeight w:val="132"/>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w:t>
            </w:r>
          </w:p>
        </w:tc>
      </w:tr>
      <w:tr w:rsidR="00BF6199" w:rsidRPr="00CC51E2" w:rsidTr="00BF6199">
        <w:trPr>
          <w:trHeight w:val="78"/>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55</w:t>
            </w:r>
          </w:p>
        </w:tc>
      </w:tr>
      <w:tr w:rsidR="00BF6199" w:rsidRPr="00CC51E2" w:rsidTr="00BF6199">
        <w:trPr>
          <w:trHeight w:val="151"/>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 GRANDE - CIUDAD BOLIVAR-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w:t>
            </w:r>
          </w:p>
        </w:tc>
      </w:tr>
      <w:tr w:rsidR="00BF6199" w:rsidRPr="00CC51E2" w:rsidTr="00BF6199">
        <w:trPr>
          <w:trHeight w:val="84"/>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JERUSALEN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62</w:t>
            </w:r>
          </w:p>
        </w:tc>
      </w:tr>
      <w:tr w:rsidR="00BF6199" w:rsidRPr="00CC51E2" w:rsidTr="00BF6199">
        <w:trPr>
          <w:trHeight w:val="172"/>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64</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LUCERO - CIUDAD BOLIVAR -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52</w:t>
            </w:r>
          </w:p>
        </w:tc>
      </w:tr>
      <w:tr w:rsidR="00BF6199" w:rsidRPr="00CC51E2" w:rsidTr="00BF6199">
        <w:trPr>
          <w:trHeight w:val="178"/>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62</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87</w:t>
            </w:r>
          </w:p>
        </w:tc>
      </w:tr>
      <w:tr w:rsidR="00BF6199" w:rsidRPr="00CC51E2" w:rsidTr="00BF6199">
        <w:trPr>
          <w:trHeight w:val="164"/>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r>
      <w:tr w:rsidR="00BF6199" w:rsidRPr="00CC51E2" w:rsidTr="00BF6199">
        <w:trPr>
          <w:trHeight w:val="96"/>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LA CANDELARIA</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w:t>
            </w:r>
          </w:p>
        </w:tc>
      </w:tr>
      <w:tr w:rsidR="00BF6199" w:rsidRPr="00CC51E2" w:rsidTr="00BF6199">
        <w:trPr>
          <w:trHeight w:val="75"/>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RAFAEL URIBE URIBE</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w:t>
            </w:r>
          </w:p>
        </w:tc>
      </w:tr>
      <w:tr w:rsidR="00BF6199" w:rsidRPr="00CC51E2" w:rsidTr="00BF6199">
        <w:trPr>
          <w:trHeight w:val="116"/>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 CRISTOBAL</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BLAS - SAN CRISTOBAL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SUBA</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EL RINCON - SUBA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r>
      <w:tr w:rsidR="00BF6199" w:rsidRPr="00CC51E2" w:rsidTr="00BF6199">
        <w:trPr>
          <w:trHeight w:val="121"/>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USAQUEN</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53</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35</w:t>
            </w:r>
          </w:p>
        </w:tc>
      </w:tr>
      <w:tr w:rsidR="00BF6199" w:rsidRPr="00CC51E2" w:rsidTr="00BF6199">
        <w:trPr>
          <w:trHeight w:val="88"/>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USME</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64</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79</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VIOLETAS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r>
      <w:tr w:rsidR="00BF6199" w:rsidRPr="00CC51E2" w:rsidTr="00BF6199">
        <w:trPr>
          <w:trHeight w:val="255"/>
        </w:trPr>
        <w:tc>
          <w:tcPr>
            <w:tcW w:w="7078" w:type="dxa"/>
            <w:gridSpan w:val="2"/>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c>
          <w:tcPr>
            <w:tcW w:w="1451" w:type="dxa"/>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1227</w:t>
            </w:r>
          </w:p>
        </w:tc>
      </w:tr>
    </w:tbl>
    <w:p w:rsidR="00BF6199" w:rsidRPr="00CC51E2" w:rsidRDefault="00BF6199" w:rsidP="00BF6199">
      <w:pPr>
        <w:jc w:val="center"/>
        <w:rPr>
          <w:rFonts w:ascii="Arial" w:hAnsi="Arial" w:cs="Arial"/>
          <w:color w:val="000000"/>
          <w:sz w:val="20"/>
          <w:szCs w:val="20"/>
        </w:rPr>
      </w:pPr>
    </w:p>
    <w:p w:rsidR="00BF6199" w:rsidRPr="00CC51E2" w:rsidRDefault="00BF6199" w:rsidP="00BF6199">
      <w:pPr>
        <w:jc w:val="center"/>
        <w:rPr>
          <w:rFonts w:ascii="Arial" w:hAnsi="Arial" w:cs="Arial"/>
          <w:color w:val="000000"/>
          <w:sz w:val="20"/>
          <w:szCs w:val="20"/>
        </w:rPr>
      </w:pPr>
      <w:r w:rsidRPr="00CC51E2">
        <w:rPr>
          <w:rFonts w:ascii="Arial" w:hAnsi="Arial" w:cs="Arial"/>
          <w:noProof/>
          <w:color w:val="000000"/>
          <w:sz w:val="20"/>
          <w:szCs w:val="20"/>
          <w:lang w:val="es-ES" w:eastAsia="es-ES"/>
        </w:rPr>
        <w:lastRenderedPageBreak/>
        <w:drawing>
          <wp:inline distT="0" distB="0" distL="0" distR="0" wp14:anchorId="00030911" wp14:editId="0F7F7345">
            <wp:extent cx="5734050" cy="4438650"/>
            <wp:effectExtent l="0" t="0" r="0" b="0"/>
            <wp:docPr id="33" name="Imagen 33" descr="OBRAS TERMINADA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AS TERMINADAS  20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4050" cy="4438650"/>
                    </a:xfrm>
                    <a:prstGeom prst="rect">
                      <a:avLst/>
                    </a:prstGeom>
                    <a:noFill/>
                    <a:ln>
                      <a:noFill/>
                    </a:ln>
                  </pic:spPr>
                </pic:pic>
              </a:graphicData>
            </a:graphic>
          </wp:inline>
        </w:drawing>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total se tienen 1.227 obras de mejoramiento de vivienda (habitabilidad) terminadas y entregadas en lo corrido de las vigencias 2016 y 2017, las cuales están ubicadas en Áreas Prioritarias de Intervención (API) definidas para el año 2015. La ejecución de las obras en estos hogares mejoró las condiciones de habitabilidad de las viviendas garantizando el derecho a la vida y a una vivienda digna.</w:t>
      </w:r>
    </w:p>
    <w:p w:rsidR="00BF6199"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Asistencia Técnica para Licencia de Construcción y Actos de Reconocimiento:</w:t>
      </w:r>
    </w:p>
    <w:p w:rsidR="00BF6199" w:rsidRDefault="00BF6199" w:rsidP="00BF6199">
      <w:pPr>
        <w:jc w:val="both"/>
        <w:rPr>
          <w:rFonts w:ascii="Arial" w:hAnsi="Arial" w:cs="Arial"/>
          <w:sz w:val="20"/>
          <w:szCs w:val="20"/>
          <w:lang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se incluyó para el cuatrienio la meta “</w:t>
      </w:r>
      <w:r w:rsidRPr="00CC51E2">
        <w:rPr>
          <w:rFonts w:ascii="Arial" w:hAnsi="Arial" w:cs="Arial"/>
          <w:i/>
          <w:sz w:val="20"/>
          <w:szCs w:val="20"/>
          <w:lang w:eastAsia="es-ES"/>
        </w:rPr>
        <w:t>Realizar 300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w:t>
      </w:r>
      <w:r w:rsidRPr="00CC51E2">
        <w:rPr>
          <w:rFonts w:ascii="Arial" w:hAnsi="Arial" w:cs="Arial"/>
          <w:sz w:val="20"/>
          <w:szCs w:val="20"/>
          <w:lang w:eastAsia="es-ES"/>
        </w:rPr>
        <w:t xml:space="preserve">”. </w:t>
      </w:r>
    </w:p>
    <w:p w:rsidR="00BF6199" w:rsidRPr="00CC51E2" w:rsidRDefault="00BF6199" w:rsidP="00BF6199">
      <w:pPr>
        <w:jc w:val="both"/>
        <w:rPr>
          <w:rFonts w:ascii="Arial" w:hAnsi="Arial" w:cs="Arial"/>
          <w:sz w:val="20"/>
          <w:szCs w:val="20"/>
          <w:lang w:val="es-ES" w:eastAsia="es-ES"/>
        </w:rPr>
      </w:pPr>
      <w:r w:rsidRPr="00CC51E2">
        <w:rPr>
          <w:rFonts w:ascii="Arial" w:hAnsi="Arial" w:cs="Arial"/>
          <w:sz w:val="20"/>
          <w:szCs w:val="20"/>
        </w:rPr>
        <w:lastRenderedPageBreak/>
        <w:t>Entre la vigencia 2016 y 2017 se tenía programada una meta de 112 radicaciones de licencias de construcción ante curaduría urbana, a 31 de octubre 2017 los profesionales de la Dirección han logrado radicar un total de 112 asistencias técnicas, jurídicas y sociales para el trámite de licencias de construcción y/o actos de reconocimiento ante curadurías urbanas, permitiendo beneficiar 360 personas de las localidades de Bosa, Chapinero</w:t>
      </w:r>
      <w:r w:rsidRPr="00CC51E2">
        <w:rPr>
          <w:rFonts w:ascii="Arial" w:hAnsi="Arial" w:cs="Arial"/>
          <w:color w:val="FF0000"/>
          <w:sz w:val="20"/>
          <w:szCs w:val="20"/>
        </w:rPr>
        <w:t xml:space="preserve">, </w:t>
      </w:r>
      <w:r w:rsidRPr="00CC51E2">
        <w:rPr>
          <w:rFonts w:ascii="Arial" w:hAnsi="Arial" w:cs="Arial"/>
          <w:sz w:val="20"/>
          <w:szCs w:val="20"/>
        </w:rPr>
        <w:t>Ciudad Bolívar, Kennedy, Rafael Uribe Uribe, San Cristóbal, Suba, Usme y Santa Fe. Para un porcentaje de ejecución del 100%, así:</w:t>
      </w:r>
      <w:r w:rsidRPr="00CC51E2">
        <w:rPr>
          <w:rFonts w:ascii="Arial" w:hAnsi="Arial" w:cs="Arial"/>
          <w:sz w:val="20"/>
          <w:szCs w:val="20"/>
        </w:rPr>
        <w:fldChar w:fldCharType="begin"/>
      </w:r>
      <w:r w:rsidRPr="00CC51E2">
        <w:rPr>
          <w:rFonts w:ascii="Arial" w:hAnsi="Arial" w:cs="Arial"/>
          <w:sz w:val="20"/>
          <w:szCs w:val="20"/>
        </w:rPr>
        <w:instrText xml:space="preserve"> LINK Excel.Sheet.12 "C:\\Users\\lgrodriguez\\Desktop\\Documentos Luis Gabriel\\INFORMES PLANEACION\\CUADROS RENDICION DE CUENTAS 2017 (DMV).xlsx" "EJECUCION METAS (2)!F81C1:F194C4" \a \f 4 \h  \* MERGEFORMAT </w:instrText>
      </w:r>
      <w:r w:rsidRPr="00CC51E2">
        <w:rPr>
          <w:rFonts w:ascii="Arial" w:hAnsi="Arial" w:cs="Arial"/>
          <w:sz w:val="20"/>
          <w:szCs w:val="20"/>
        </w:rPr>
        <w:fldChar w:fldCharType="separate"/>
      </w:r>
    </w:p>
    <w:tbl>
      <w:tblPr>
        <w:tblW w:w="8080" w:type="dxa"/>
        <w:tblInd w:w="70" w:type="dxa"/>
        <w:tblCellMar>
          <w:left w:w="70" w:type="dxa"/>
          <w:right w:w="70" w:type="dxa"/>
        </w:tblCellMar>
        <w:tblLook w:val="04A0" w:firstRow="1" w:lastRow="0" w:firstColumn="1" w:lastColumn="0" w:noHBand="0" w:noVBand="1"/>
      </w:tblPr>
      <w:tblGrid>
        <w:gridCol w:w="1341"/>
        <w:gridCol w:w="4591"/>
        <w:gridCol w:w="1418"/>
        <w:gridCol w:w="1418"/>
      </w:tblGrid>
      <w:tr w:rsidR="00BF6199" w:rsidRPr="00CC51E2" w:rsidTr="00BF6199">
        <w:trPr>
          <w:trHeight w:val="57"/>
          <w:tblHeader/>
        </w:trPr>
        <w:tc>
          <w:tcPr>
            <w:tcW w:w="1221" w:type="dxa"/>
            <w:tcBorders>
              <w:top w:val="single" w:sz="8" w:space="0" w:color="auto"/>
              <w:left w:val="single" w:sz="8" w:space="0" w:color="auto"/>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LOCALIDAD</w:t>
            </w:r>
          </w:p>
        </w:tc>
        <w:tc>
          <w:tcPr>
            <w:tcW w:w="459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NOMBRE</w:t>
            </w:r>
          </w:p>
        </w:tc>
        <w:tc>
          <w:tcPr>
            <w:tcW w:w="128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EXPEDIENTE</w:t>
            </w:r>
          </w:p>
        </w:tc>
        <w:tc>
          <w:tcPr>
            <w:tcW w:w="987"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KENNEDY</w:t>
            </w: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LUZ MARINA SEPULVEDA CARREÑO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17/1/0237</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BELSU CUBIDES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17/4/1197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FLOR ANGELA GONZALEZ PERDOMO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17-1-0688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OSMAN MAURICIO QUIMBAY ALARCON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MIRIAM YAEL LOSADA CRUZ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MARGARITA OSPITIA DE ROCHA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16-1-0708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BERTILDE LANCHEROS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16/03/1998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EDELMIRA RODRÍGUEZ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16/5/1665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DIANA CAROLINA TEJEDOR SILVA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RUTH ELENA LOPEZ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16-1-1090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CIUDAD BOLIVAR</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BLANCA INES RAMÍREZ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17/3/0883</w:t>
            </w:r>
          </w:p>
        </w:tc>
        <w:tc>
          <w:tcPr>
            <w:tcW w:w="141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19</w:t>
            </w: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GLADYS GONZALEZ RIOS</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17/1/0360</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JUSTO PEDRAZA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17/3/1135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GIRALDO RAMÍREZ</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17/4/0972</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MARCOS LASSO</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17/3/1308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REINA MARIA PARRA PEÑA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BERENICE ACHURY PACHON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ALEIRA PIRAQUIVE GUACHETA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17-3-1456</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ANGEL MARIA LOZANO SALAZAR</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17-1-0619</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ANANIAS CORTES POLANIA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17-3-1555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RUBIEL VELASCO ROLDAN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JOSEFINA GARCIA DIAZ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17-1-0735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MERCEDES SANDOVAL </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17-1-0962 </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  LUIS EVELIO OSPITIA                                                                                                                                                  </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16/04/2008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ARAQUE</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LUCIA MORENO</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16-1-1087</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JUDITH RESTREPO CHAVEZ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CECILIA CHAVEZ PARRA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16/04/2561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ANA VICENTA GARCÍA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16/04/2593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 CRISTOBAL</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BETULIA RUIZ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17/4/0781</w:t>
            </w:r>
          </w:p>
        </w:tc>
        <w:tc>
          <w:tcPr>
            <w:tcW w:w="141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22</w:t>
            </w: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ALICIA GORDO RABON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17/3/1312</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HERMINDA CLEMENCIA ORTEGA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JANETH CAROLINA HERREÑO CONTRERAS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NIDIA HERRERA BAQUERO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17/4/1093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ELISA ISABEL ORTEGA BORRERO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JORGE ALIRIO ARIAS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17-1-0617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INES AVILA VELASCO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17-4-1301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CARMEN RODRIGUEZ MANRIQUE</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17-3-1543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JAZMIN AMAYA MORENO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17-4-1289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JAIME ENRIQUE PINZÓN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17-4-1292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PEDRO PABLO BERNAL RODRIGUEZ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JAVIER ARTURO PAEZ ROA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17-3-1603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NUBIA LILIANA GARAY CASTRO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16-4-1899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RITO ANTONIO CASTRO SILVA </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16-1-0960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HILDA MARIA GONZALEZ SIERRA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16/1/0995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MARTHA YANETH VARGAS PLAZAS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16/04/2123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ORLANDO RICO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16/1/1028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BERENICE ROJAS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SANDRA ESPINOSA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16-1-1075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GLORIA ESTELA VEGA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ADRIANA BARRANTES GONZALES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16-1-1133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CHAPINERO</w:t>
            </w:r>
          </w:p>
        </w:tc>
        <w:tc>
          <w:tcPr>
            <w:tcW w:w="4591"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CARLOS GUTIERREZ</w:t>
            </w:r>
          </w:p>
        </w:tc>
        <w:tc>
          <w:tcPr>
            <w:tcW w:w="1281" w:type="dxa"/>
            <w:tcBorders>
              <w:top w:val="single" w:sz="8" w:space="0" w:color="auto"/>
              <w:left w:val="nil"/>
              <w:bottom w:val="single" w:sz="8" w:space="0" w:color="auto"/>
              <w:right w:val="nil"/>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17/1/0361</w:t>
            </w:r>
          </w:p>
        </w:tc>
        <w:tc>
          <w:tcPr>
            <w:tcW w:w="9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w:t>
            </w: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RAFAEL URIBE URIBE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LUCERO MONTOYA LÓPEZ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17/3/0880</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GLADYS MILENA RAMÍREZ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CENEIDA CARRILLO RAMIREZ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NIDIA JEANNETH ORTIZ PEDRAZA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ELISA RODRIGUEZ MARTINEZ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17/1/0579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MARINA LLANES RAMIREZ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17-4-1229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ROSALBINA BELTRAN LIEVANO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16/04/2058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DEL CARMEN MORENO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16/04/2168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ROSA BUITRAGO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16/04/2220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MARTHA MUÑOZ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ALIRIO SAMORA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USME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CRISTINA FORERO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17/1/0341</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37</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LUCIA ROA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VICTOR ALEXANDER FLOREZ DEANTONIO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ASCENSIÓN SOTELO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17/1/0444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LÓPEZ ZAMBRANO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17/1/0481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MARGARITA PARDO MARTÍNEZ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SUSANA FUENTES AVENDAÑO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ÁLVARO IBAÑEZ GARCÍA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PEDREROS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17/3/1426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ANGEL GARZON MARTINEZ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17/4/1196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STELLA POVEDA BAQUERO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GILMA ROSA RODRÍGUEZ SUAREZ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TERESA HERNANDEZ ZAMUDIO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ALVARO PIRA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17-4-1291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JAVIER HUMBERTO ARAQUE CLAVIJO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HENRY MORENO RABÓN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17-3-1672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SONIA PATRICIA DURÁN PINILLA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17-3-1669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JAIRO SEPULVEDA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17-3-1671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SOFÍA CARO PINILLA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17-03-2030.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MARÍA CRISTINA FONSECA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17-1-0963 </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JOSE RONALDO HUERTAS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16/04/1901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EMILSEN PINTO</w:t>
            </w:r>
            <w:r w:rsidR="007A396B">
              <w:rPr>
                <w:rFonts w:ascii="Arial" w:eastAsia="Times New Roman" w:hAnsi="Arial" w:cs="Arial"/>
                <w:sz w:val="20"/>
                <w:szCs w:val="20"/>
                <w:lang w:val="es-ES" w:eastAsia="es-ES"/>
              </w:rPr>
              <w:t>Ó</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16-1-0949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ALCIDES RIOS RODRIGUEZ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16-1-0950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MARIA ROCIO PARADA RODRIGUEZ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16-1-0961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GUILLERMO PRADA PADILLA / FANNY ROBLES SALAZAR</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16-1-0986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ADONAY ADANARY GOMEZ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16/04/2080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MYRIAM HERNÁNDEZ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16/04/2122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MARINA SANCHEZ ACUÑA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16/1/1029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CESAR URREGO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16/04/2256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BLANCA VILLAMARIN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16/04/2257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CAMARGO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16/03/1994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ELSA CAICEDO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VIVIANA RUIZ TIQUE</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PEDRO ALEJANDRO ALVAREZ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OLMOS DE LAVERDE</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16-1-1122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FERNEY ALARCON</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16/04/2600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GLORIA ELSY ALVAREZ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16-1-1189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SUBA</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LIMBANIA MARTINEZ ACEVEDO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17/1/0363</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CAROLINA RIPE MARTÍNEZ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GUERRERO CASTAÑEDA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17/1/0545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BERTILDA SANCHÉZ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17-1-0687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HILDA LEONOR BEJARANO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BOSA</w:t>
            </w: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FIDELINA LEAL REYES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17/5/0494</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MYRIAM CIFUENTES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CARLOS ERALDO SÁNCHEZ QUIROGA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17/1/0479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HAIBLEIDY GARCIA RUABIANO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17-1-0728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JOSE IGNACIO SAAVEDRA ARANDA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30/09/2016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SANTA FE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DARY ORJUELA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17-4-1288</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ALVARO RODRÍGUEZ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16/04/2563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7093" w:type="dxa"/>
            <w:gridSpan w:val="3"/>
            <w:tcBorders>
              <w:top w:val="single" w:sz="8" w:space="0" w:color="auto"/>
              <w:left w:val="single" w:sz="8" w:space="0" w:color="auto"/>
              <w:bottom w:val="single" w:sz="8" w:space="0" w:color="auto"/>
              <w:right w:val="nil"/>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c>
          <w:tcPr>
            <w:tcW w:w="9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112</w:t>
            </w:r>
          </w:p>
        </w:tc>
      </w:tr>
    </w:tbl>
    <w:p w:rsidR="00BF6199" w:rsidRPr="00CC51E2" w:rsidRDefault="00BF6199" w:rsidP="00BF6199">
      <w:pPr>
        <w:jc w:val="center"/>
        <w:rPr>
          <w:rFonts w:ascii="Arial" w:hAnsi="Arial" w:cs="Arial"/>
          <w:color w:val="000000"/>
          <w:sz w:val="20"/>
          <w:szCs w:val="20"/>
        </w:rPr>
      </w:pPr>
      <w:r w:rsidRPr="00CC51E2">
        <w:rPr>
          <w:rFonts w:ascii="Arial" w:hAnsi="Arial" w:cs="Arial"/>
          <w:color w:val="000000"/>
          <w:sz w:val="20"/>
          <w:szCs w:val="20"/>
        </w:rPr>
        <w:fldChar w:fldCharType="end"/>
      </w:r>
      <w:r w:rsidRPr="00CC51E2">
        <w:rPr>
          <w:rFonts w:ascii="Arial" w:hAnsi="Arial" w:cs="Arial"/>
          <w:noProof/>
          <w:color w:val="000000"/>
          <w:sz w:val="20"/>
          <w:szCs w:val="20"/>
          <w:lang w:val="es-ES" w:eastAsia="es-ES"/>
        </w:rPr>
        <w:drawing>
          <wp:inline distT="0" distB="0" distL="0" distR="0" wp14:anchorId="2775EA59" wp14:editId="71AC162F">
            <wp:extent cx="5600700" cy="4333875"/>
            <wp:effectExtent l="0" t="0" r="0" b="9525"/>
            <wp:docPr id="32" name="Imagen 32" descr="RENDICION DE CUENTAS 2017 MET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NDICION DE CUENTAS 2017 META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0700" cy="4333875"/>
                    </a:xfrm>
                    <a:prstGeom prst="rect">
                      <a:avLst/>
                    </a:prstGeom>
                    <a:noFill/>
                    <a:ln>
                      <a:noFill/>
                    </a:ln>
                  </pic:spPr>
                </pic:pic>
              </a:graphicData>
            </a:graphic>
          </wp:inline>
        </w:drawing>
      </w:r>
    </w:p>
    <w:bookmarkEnd w:id="3"/>
    <w:bookmarkEnd w:id="4"/>
    <w:p w:rsidR="00BF6199" w:rsidRPr="00CC51E2" w:rsidRDefault="00BF6199" w:rsidP="00BF6199">
      <w:pPr>
        <w:pStyle w:val="Default"/>
        <w:jc w:val="both"/>
        <w:rPr>
          <w:b/>
          <w:sz w:val="20"/>
          <w:szCs w:val="20"/>
        </w:rPr>
      </w:pPr>
    </w:p>
    <w:p w:rsidR="00BF6199" w:rsidRPr="00CC51E2" w:rsidRDefault="00BF6199" w:rsidP="00BF6199">
      <w:pPr>
        <w:pStyle w:val="Default"/>
        <w:jc w:val="both"/>
        <w:rPr>
          <w:sz w:val="20"/>
          <w:szCs w:val="20"/>
        </w:rPr>
      </w:pPr>
    </w:p>
    <w:p w:rsidR="00BF6199" w:rsidRPr="00CC51E2" w:rsidRDefault="00BF6199" w:rsidP="00BF6199">
      <w:pPr>
        <w:pStyle w:val="Default"/>
        <w:jc w:val="center"/>
        <w:rPr>
          <w:b/>
          <w:sz w:val="20"/>
          <w:szCs w:val="20"/>
        </w:rPr>
      </w:pPr>
      <w:r w:rsidRPr="00CC51E2">
        <w:rPr>
          <w:b/>
          <w:sz w:val="20"/>
          <w:szCs w:val="20"/>
        </w:rPr>
        <w:t>ACCIONES DE MEJORAMIENTO INSTITUCIONAL Y DE DESEMPEÑO DE LA GESTION PÚBLICA</w:t>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En el marco del mejoramiento continuo y en aras de contribuir desde el liderazgo del proceso misional de Mejoramiento de Vivienda en el análisis del modelo de operación por procesos, se realizaron las siguientes acciones con corte a 31 de octubre de 2017:</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Formulación y seguimiento de la Matriz Anticorrupción.</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y ajuste de la caracterización del proceso de Mejoramiento de Vivienda, la cual se encuentra formalizada en el marco del Sistema Integrado de Gestión.</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ajuste y socialización del procedimiento de Asistencia Técnica de la Dirección, para el trámite de licencias de construcción y/o actos de reconocimiento.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Creación del procedimiento de Estructuración de Proyectos Subsidio Distrital Mejoramiento de Vivienda.</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ajuste y socialización del procedimiento de Supervisión a la Interventoría de Obra.</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y depuración de los formatos vigentes de la Dirección de Mejoramiento de Vivienda para cada uno de los procesos.</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actualizó el normograma según normatividad vigente y orden jerárquico.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realizó con corte al 30 de septiembre 2017 el seguimiento en la matriz de diseño y desarrollo de asistencia técnica para el trámite de licencias de construcción y/o actos de reconocimiento.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realizó el seguimiento a los productos y servicios No Conformes.</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 xml:space="preserve">Formulación y seguimiento del Plan de Acción de Gestión de la Dirección, para la Vigencia 2017. </w:t>
      </w:r>
    </w:p>
    <w:p w:rsidR="00BF6199" w:rsidRPr="00CC51E2" w:rsidRDefault="00BF6199" w:rsidP="00BF6199">
      <w:pPr>
        <w:jc w:val="both"/>
        <w:rPr>
          <w:rFonts w:ascii="Arial" w:hAnsi="Arial" w:cs="Arial"/>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Planes de Mejoramiento y Planes de Acción:</w:t>
      </w:r>
    </w:p>
    <w:p w:rsidR="00BF6199" w:rsidRPr="00CC51E2" w:rsidRDefault="00BF6199" w:rsidP="00BF6199">
      <w:pPr>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Gestión de cierre sobre las acciones formuladas en los planes de mejoramiento de las auditorías internas:</w:t>
      </w:r>
    </w:p>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2016:</w:t>
      </w:r>
      <w:r w:rsidRPr="00CC51E2">
        <w:rPr>
          <w:rFonts w:ascii="Arial" w:hAnsi="Arial" w:cs="Arial"/>
          <w:sz w:val="20"/>
          <w:szCs w:val="20"/>
        </w:rPr>
        <w:t xml:space="preserve"> Para esta vigencia se tenía un total de 8 hallazgos, de los cuales fueron cerrados 7 durante la vigencia 2016 y que fueron verificados durante la auditoría de cierre de la vigencia 2016, realizada en febrero de 2017. Quedando pendiente sólo 1 hallazgo por cerrar para la vigencia 2017.</w:t>
      </w: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2017:</w:t>
      </w:r>
      <w:r w:rsidRPr="00CC51E2">
        <w:rPr>
          <w:rFonts w:ascii="Arial" w:hAnsi="Arial" w:cs="Arial"/>
          <w:sz w:val="20"/>
          <w:szCs w:val="20"/>
        </w:rPr>
        <w:t xml:space="preserve"> En la auditoría de cierre de la vigencia 2016, realizada en febrero de 2017, se identificaron 2 hallazgos nuevos a los cuales se les elaboro el respectivo plan de mejoramiento y el 18 de mayo se dio apertura al ciclo de auditorías internas de la vigencia 2017, en donde se dio por cerrado estos 2 hallazgos y se identificaron 2 nuevos. En la actualidad la DMV tiene en seguimiento 3 hallazgos; 1 de la vigencia 2015 y 2 de la vigencia 2017, a los cuales se les realizo el respectivo seguimiento y actualmente encuentran en revisión por parte de la oficina de control interno con el fin de darles cierre.</w:t>
      </w: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Gestión de cierre sobre los planes de mejoramiento suscritos con la Contraloría:</w:t>
      </w:r>
    </w:p>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Se realizó el seguimiento a las acciones formuladas en el archivo "</w:t>
      </w:r>
      <w:r w:rsidRPr="00CC51E2">
        <w:rPr>
          <w:rFonts w:ascii="Arial" w:hAnsi="Arial" w:cs="Arial"/>
          <w:i/>
          <w:sz w:val="20"/>
          <w:szCs w:val="20"/>
        </w:rPr>
        <w:t>Seguimiento PM Auditoria Regular 2016</w:t>
      </w:r>
      <w:r w:rsidRPr="00CC51E2">
        <w:rPr>
          <w:rFonts w:ascii="Arial" w:hAnsi="Arial" w:cs="Arial"/>
          <w:sz w:val="20"/>
          <w:szCs w:val="20"/>
        </w:rPr>
        <w:t xml:space="preserve">", ubicado en: \\serv-cv11\Plan de mejoramiento en la entidad\Plan de Mejoramiento 2016 de la Contraloría, en el cual la Dirección de Mejoramiento de Vivienda tiene formulado cuatro (4) hallazgos. </w:t>
      </w:r>
    </w:p>
    <w:p w:rsidR="00BF6199" w:rsidRPr="00CC51E2" w:rsidRDefault="00BF6199" w:rsidP="00BF6199">
      <w:pPr>
        <w:jc w:val="both"/>
        <w:rPr>
          <w:rFonts w:ascii="Arial" w:hAnsi="Arial" w:cs="Arial"/>
          <w:sz w:val="20"/>
          <w:szCs w:val="20"/>
        </w:rPr>
      </w:pPr>
    </w:p>
    <w:tbl>
      <w:tblPr>
        <w:tblW w:w="4878" w:type="dxa"/>
        <w:jc w:val="center"/>
        <w:tblCellMar>
          <w:left w:w="70" w:type="dxa"/>
          <w:right w:w="70" w:type="dxa"/>
        </w:tblCellMar>
        <w:tblLook w:val="04A0" w:firstRow="1" w:lastRow="0" w:firstColumn="1" w:lastColumn="0" w:noHBand="0" w:noVBand="1"/>
      </w:tblPr>
      <w:tblGrid>
        <w:gridCol w:w="2414"/>
        <w:gridCol w:w="2464"/>
      </w:tblGrid>
      <w:tr w:rsidR="00BF6199" w:rsidRPr="00CC51E2" w:rsidTr="00BF6199">
        <w:trPr>
          <w:trHeight w:val="450"/>
          <w:jc w:val="center"/>
        </w:trPr>
        <w:tc>
          <w:tcPr>
            <w:tcW w:w="4878" w:type="dxa"/>
            <w:gridSpan w:val="2"/>
            <w:tcBorders>
              <w:top w:val="single" w:sz="4" w:space="0" w:color="auto"/>
              <w:left w:val="single" w:sz="4" w:space="0" w:color="auto"/>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PLANES DE MEJORAMIENTO SUSCRITOS CON LA CONTRALORÍA</w:t>
            </w:r>
          </w:p>
        </w:tc>
      </w:tr>
      <w:tr w:rsidR="00BF6199" w:rsidRPr="00CC51E2" w:rsidTr="00BF6199">
        <w:trPr>
          <w:trHeight w:hRule="exact" w:val="424"/>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 xml:space="preserve">Vigencia </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No. Hallazgos</w:t>
            </w:r>
          </w:p>
        </w:tc>
      </w:tr>
      <w:tr w:rsidR="00BF6199" w:rsidRPr="00CC51E2" w:rsidTr="00BF6199">
        <w:trPr>
          <w:trHeight w:hRule="exact" w:val="301"/>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2015</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8</w:t>
            </w:r>
          </w:p>
        </w:tc>
      </w:tr>
      <w:tr w:rsidR="00BF6199" w:rsidRPr="00CC51E2" w:rsidTr="00BF6199">
        <w:trPr>
          <w:trHeight w:hRule="exact" w:val="277"/>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2016</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r>
    </w:tbl>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2016:</w:t>
      </w:r>
      <w:r w:rsidRPr="00CC51E2">
        <w:rPr>
          <w:rFonts w:ascii="Arial" w:hAnsi="Arial" w:cs="Arial"/>
          <w:sz w:val="20"/>
          <w:szCs w:val="20"/>
        </w:rPr>
        <w:t xml:space="preserve"> Durante esta vigencia se tenía un acumulado de 8 Hallazgos, de los cuales 4 fueron cerrados durante la vigencia y 4 quedaron pendientes por cerrar, a los cuales se les ha realizado el seguimiento respectivo durante la vigencia 2017, los mismos se encuentran cumpliendo los plazos y acciones formuladas en el plan de mejoramiento.</w:t>
      </w:r>
    </w:p>
    <w:p w:rsidR="00BF6199" w:rsidRPr="00CC51E2" w:rsidRDefault="00BF6199" w:rsidP="00BF6199">
      <w:pPr>
        <w:pStyle w:val="Default"/>
        <w:jc w:val="both"/>
        <w:rPr>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Evaluación de Gestión por Dependencias:</w:t>
      </w:r>
    </w:p>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La Dirección de Mejoramiento de Vivienda, continuando con el proceso de mejora continua, según los informes de evaluación de gestión por dependencias que realiza la Oficina de Control Interno, mostró como resultado de la gestión de la vigencia 2016 una calificación de 93,99%, mejorando en 16,98% respecto al año anterior.</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Cabe mencionar que las anteriores acciones han permitido fortalecer las distintas articulaciones del Programa de Mejoramiento de Vivienda con la plataforma estratégica de la Entidad, en cumplimiento a las acciones del Pan de Desarrollo Bogotá Mejor Para Todos</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p>
    <w:p w:rsidR="00BF6199" w:rsidRPr="00CC51E2" w:rsidRDefault="00BF6199" w:rsidP="00BF6199">
      <w:pPr>
        <w:pStyle w:val="Default"/>
        <w:jc w:val="center"/>
        <w:rPr>
          <w:sz w:val="20"/>
          <w:szCs w:val="20"/>
        </w:rPr>
      </w:pPr>
      <w:r w:rsidRPr="00CC51E2">
        <w:rPr>
          <w:b/>
          <w:sz w:val="20"/>
          <w:szCs w:val="20"/>
        </w:rPr>
        <w:t>INFORMACION DE INTERES PARA LA CIUDADANIA</w:t>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La Dirección de Mejoramiento de Vivienda envió a la Oficina Asesora de Planeación - OAP el informe sobre los encuentros sostenidos con la ciudadanía, a la fecha se ha realizado el día 31 de enero de 2017, el foro de inicio de obras del proyecto Franja de Adecuación de la localidad de Usaquén en el cual se ejecutarán 55 Subsidios.</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Con el grupo de profesionales de la Dirección, el día 26 de enero de 2017 se realizó la socialización del proceso de Asistencia Técnica al primer grupo de beneficiarios que fueron previamente visitados por el equipo para iniciar el trámite de licencia de construcción y/o acto de reconocimiento. </w:t>
      </w: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En el marco de la estructuración del Convenio 496 se han realizado 7 reuniones con los líderes de las JAC de los territorios de Borde Rural y Borde Soacha de la localidad de Ciudad Bolívar, con el fin de socializar los proyectos de mejoramiento de vivienda y el alcance de las actividades a desarrollar en el marco de la estructuración del Convenio No. 496, las cuales se relacionan en los siguientes cuadros.</w:t>
      </w:r>
    </w:p>
    <w:p w:rsidR="00BF6199" w:rsidRPr="00CC51E2" w:rsidRDefault="00BF6199" w:rsidP="00BF6199">
      <w:pPr>
        <w:jc w:val="center"/>
        <w:rPr>
          <w:rFonts w:ascii="Arial" w:hAnsi="Arial" w:cs="Arial"/>
          <w:b/>
          <w:sz w:val="20"/>
          <w:szCs w:val="20"/>
        </w:rPr>
      </w:pPr>
      <w:r w:rsidRPr="00CC51E2">
        <w:rPr>
          <w:rFonts w:ascii="Arial" w:hAnsi="Arial" w:cs="Arial"/>
          <w:b/>
          <w:sz w:val="20"/>
          <w:szCs w:val="20"/>
        </w:rPr>
        <w:t>TERRITORIO BORDE RURAL (CIUDAD BOLIVAR)</w:t>
      </w:r>
    </w:p>
    <w:tbl>
      <w:tblPr>
        <w:tblW w:w="87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33"/>
        <w:gridCol w:w="1428"/>
        <w:gridCol w:w="2285"/>
        <w:gridCol w:w="1472"/>
        <w:gridCol w:w="2461"/>
      </w:tblGrid>
      <w:tr w:rsidR="00BF6199" w:rsidRPr="00CC51E2" w:rsidTr="00BF6199">
        <w:trPr>
          <w:jc w:val="center"/>
        </w:trPr>
        <w:tc>
          <w:tcPr>
            <w:tcW w:w="1133"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NOMBRE DEL EVENTO</w:t>
            </w:r>
          </w:p>
        </w:tc>
        <w:tc>
          <w:tcPr>
            <w:tcW w:w="1428"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REALIZADO POR</w:t>
            </w:r>
          </w:p>
        </w:tc>
        <w:tc>
          <w:tcPr>
            <w:tcW w:w="2285"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FECHA</w:t>
            </w:r>
          </w:p>
        </w:tc>
        <w:tc>
          <w:tcPr>
            <w:tcW w:w="14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NUMERO DE ASISTENTES</w:t>
            </w:r>
          </w:p>
        </w:tc>
        <w:tc>
          <w:tcPr>
            <w:tcW w:w="2461"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LUGAR</w:t>
            </w:r>
          </w:p>
        </w:tc>
      </w:tr>
      <w:tr w:rsidR="00BF6199" w:rsidRPr="00CC51E2" w:rsidTr="00BF6199">
        <w:trPr>
          <w:jc w:val="center"/>
        </w:trPr>
        <w:tc>
          <w:tcPr>
            <w:tcW w:w="1133"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Encuentro con JAC</w:t>
            </w:r>
          </w:p>
          <w:p w:rsidR="00BF6199" w:rsidRPr="00CC51E2" w:rsidRDefault="00BF6199" w:rsidP="00BF6199">
            <w:pPr>
              <w:jc w:val="center"/>
              <w:rPr>
                <w:rFonts w:ascii="Arial" w:hAnsi="Arial" w:cs="Arial"/>
                <w:sz w:val="20"/>
                <w:szCs w:val="20"/>
              </w:rPr>
            </w:pPr>
          </w:p>
        </w:tc>
        <w:tc>
          <w:tcPr>
            <w:tcW w:w="1428"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CVP – Dirección de Mejoramiento de Vivienda</w:t>
            </w:r>
          </w:p>
        </w:tc>
        <w:tc>
          <w:tcPr>
            <w:tcW w:w="2285"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20 de enero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3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16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17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6 de abril de 2017</w:t>
            </w:r>
          </w:p>
        </w:tc>
        <w:tc>
          <w:tcPr>
            <w:tcW w:w="14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11</w:t>
            </w:r>
          </w:p>
          <w:p w:rsidR="00BF6199" w:rsidRPr="00CC51E2" w:rsidRDefault="00BF6199" w:rsidP="00BF6199">
            <w:pPr>
              <w:jc w:val="center"/>
              <w:rPr>
                <w:rFonts w:ascii="Arial" w:hAnsi="Arial" w:cs="Arial"/>
                <w:sz w:val="20"/>
                <w:szCs w:val="20"/>
              </w:rPr>
            </w:pPr>
            <w:r w:rsidRPr="00CC51E2">
              <w:rPr>
                <w:rFonts w:ascii="Arial" w:hAnsi="Arial" w:cs="Arial"/>
                <w:sz w:val="20"/>
                <w:szCs w:val="20"/>
              </w:rPr>
              <w:t>16</w:t>
            </w:r>
          </w:p>
          <w:p w:rsidR="00BF6199" w:rsidRPr="00CC51E2" w:rsidRDefault="00BF6199" w:rsidP="00BF6199">
            <w:pPr>
              <w:jc w:val="center"/>
              <w:rPr>
                <w:rFonts w:ascii="Arial" w:hAnsi="Arial" w:cs="Arial"/>
                <w:sz w:val="20"/>
                <w:szCs w:val="20"/>
              </w:rPr>
            </w:pPr>
            <w:r w:rsidRPr="00CC51E2">
              <w:rPr>
                <w:rFonts w:ascii="Arial" w:hAnsi="Arial" w:cs="Arial"/>
                <w:sz w:val="20"/>
                <w:szCs w:val="20"/>
              </w:rPr>
              <w:t>8</w:t>
            </w:r>
          </w:p>
          <w:p w:rsidR="00BF6199" w:rsidRPr="00CC51E2" w:rsidRDefault="00BF6199" w:rsidP="00BF6199">
            <w:pPr>
              <w:jc w:val="center"/>
              <w:rPr>
                <w:rFonts w:ascii="Arial" w:hAnsi="Arial" w:cs="Arial"/>
                <w:sz w:val="20"/>
                <w:szCs w:val="20"/>
              </w:rPr>
            </w:pPr>
            <w:r w:rsidRPr="00CC51E2">
              <w:rPr>
                <w:rFonts w:ascii="Arial" w:hAnsi="Arial" w:cs="Arial"/>
                <w:sz w:val="20"/>
                <w:szCs w:val="20"/>
              </w:rPr>
              <w:t>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10</w:t>
            </w:r>
          </w:p>
        </w:tc>
        <w:tc>
          <w:tcPr>
            <w:tcW w:w="2461" w:type="dxa"/>
            <w:shd w:val="clear" w:color="auto" w:fill="auto"/>
          </w:tcPr>
          <w:p w:rsidR="00BF6199" w:rsidRPr="00CC51E2" w:rsidRDefault="00BF6199" w:rsidP="00BF6199">
            <w:pPr>
              <w:jc w:val="both"/>
              <w:rPr>
                <w:rFonts w:ascii="Arial" w:hAnsi="Arial" w:cs="Arial"/>
                <w:sz w:val="20"/>
                <w:szCs w:val="20"/>
              </w:rPr>
            </w:pPr>
            <w:r w:rsidRPr="00CC51E2">
              <w:rPr>
                <w:rFonts w:ascii="Arial" w:hAnsi="Arial" w:cs="Arial"/>
                <w:sz w:val="20"/>
                <w:szCs w:val="20"/>
              </w:rPr>
              <w:t>Socialización a líderes de los barrios del sector II del Área de Intervención Integral del territorio Borde Rural de la localidad de Ciudad Bolívar.</w:t>
            </w:r>
          </w:p>
        </w:tc>
      </w:tr>
    </w:tbl>
    <w:p w:rsidR="00BF6199" w:rsidRPr="00CC51E2" w:rsidRDefault="00BF6199" w:rsidP="00BF6199">
      <w:pPr>
        <w:jc w:val="center"/>
        <w:rPr>
          <w:rFonts w:ascii="Arial" w:hAnsi="Arial" w:cs="Arial"/>
          <w:b/>
          <w:sz w:val="20"/>
          <w:szCs w:val="20"/>
        </w:rPr>
      </w:pPr>
    </w:p>
    <w:p w:rsidR="00BF6199" w:rsidRPr="00CC51E2" w:rsidRDefault="00BF6199" w:rsidP="00BF6199">
      <w:pPr>
        <w:jc w:val="center"/>
        <w:rPr>
          <w:rFonts w:ascii="Arial" w:hAnsi="Arial" w:cs="Arial"/>
          <w:b/>
          <w:sz w:val="20"/>
          <w:szCs w:val="20"/>
        </w:rPr>
      </w:pPr>
      <w:r w:rsidRPr="00CC51E2">
        <w:rPr>
          <w:rFonts w:ascii="Arial" w:hAnsi="Arial" w:cs="Arial"/>
          <w:b/>
          <w:sz w:val="20"/>
          <w:szCs w:val="20"/>
        </w:rPr>
        <w:t>TERRITORIO BORDE SOACHA (CIUDAD BOLIVAR)</w:t>
      </w:r>
    </w:p>
    <w:tbl>
      <w:tblPr>
        <w:tblW w:w="87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2"/>
        <w:gridCol w:w="1428"/>
        <w:gridCol w:w="2223"/>
        <w:gridCol w:w="1472"/>
        <w:gridCol w:w="2384"/>
      </w:tblGrid>
      <w:tr w:rsidR="00BF6199" w:rsidRPr="00CC51E2" w:rsidTr="00BF6199">
        <w:trPr>
          <w:jc w:val="center"/>
        </w:trPr>
        <w:tc>
          <w:tcPr>
            <w:tcW w:w="12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NOMBRE DEL EVENTO</w:t>
            </w:r>
          </w:p>
        </w:tc>
        <w:tc>
          <w:tcPr>
            <w:tcW w:w="1428"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REALIZADO POR</w:t>
            </w:r>
          </w:p>
        </w:tc>
        <w:tc>
          <w:tcPr>
            <w:tcW w:w="2223"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FECHA</w:t>
            </w:r>
          </w:p>
        </w:tc>
        <w:tc>
          <w:tcPr>
            <w:tcW w:w="14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NUMERO DE ASISTENTES</w:t>
            </w:r>
          </w:p>
        </w:tc>
        <w:tc>
          <w:tcPr>
            <w:tcW w:w="2384"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LUGAR</w:t>
            </w:r>
          </w:p>
        </w:tc>
      </w:tr>
      <w:tr w:rsidR="00BF6199" w:rsidRPr="00CC51E2" w:rsidTr="00BF6199">
        <w:trPr>
          <w:jc w:val="center"/>
        </w:trPr>
        <w:tc>
          <w:tcPr>
            <w:tcW w:w="12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Encuentro con JAC</w:t>
            </w:r>
          </w:p>
          <w:p w:rsidR="00BF6199" w:rsidRPr="00CC51E2" w:rsidRDefault="00BF6199" w:rsidP="00BF6199">
            <w:pPr>
              <w:jc w:val="center"/>
              <w:rPr>
                <w:rFonts w:ascii="Arial" w:hAnsi="Arial" w:cs="Arial"/>
                <w:sz w:val="20"/>
                <w:szCs w:val="20"/>
              </w:rPr>
            </w:pPr>
          </w:p>
        </w:tc>
        <w:tc>
          <w:tcPr>
            <w:tcW w:w="1428"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CVP – Dirección de Mejoramiento de Vivienda</w:t>
            </w:r>
          </w:p>
        </w:tc>
        <w:tc>
          <w:tcPr>
            <w:tcW w:w="2223"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15 de junio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21 de junio de 2017</w:t>
            </w:r>
          </w:p>
        </w:tc>
        <w:tc>
          <w:tcPr>
            <w:tcW w:w="14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7</w:t>
            </w:r>
          </w:p>
          <w:p w:rsidR="00BF6199" w:rsidRPr="00CC51E2" w:rsidRDefault="00BF6199" w:rsidP="00BF6199">
            <w:pPr>
              <w:jc w:val="center"/>
              <w:rPr>
                <w:rFonts w:ascii="Arial" w:hAnsi="Arial" w:cs="Arial"/>
                <w:sz w:val="20"/>
                <w:szCs w:val="20"/>
              </w:rPr>
            </w:pPr>
            <w:r w:rsidRPr="00CC51E2">
              <w:rPr>
                <w:rFonts w:ascii="Arial" w:hAnsi="Arial" w:cs="Arial"/>
                <w:sz w:val="20"/>
                <w:szCs w:val="20"/>
              </w:rPr>
              <w:t>5</w:t>
            </w:r>
          </w:p>
        </w:tc>
        <w:tc>
          <w:tcPr>
            <w:tcW w:w="2384" w:type="dxa"/>
            <w:shd w:val="clear" w:color="auto" w:fill="auto"/>
          </w:tcPr>
          <w:p w:rsidR="00BF6199" w:rsidRPr="00CC51E2" w:rsidRDefault="00BF6199" w:rsidP="00BF6199">
            <w:pPr>
              <w:jc w:val="both"/>
              <w:rPr>
                <w:rFonts w:ascii="Arial" w:hAnsi="Arial" w:cs="Arial"/>
                <w:sz w:val="20"/>
                <w:szCs w:val="20"/>
              </w:rPr>
            </w:pPr>
            <w:r w:rsidRPr="00CC51E2">
              <w:rPr>
                <w:rFonts w:ascii="Arial" w:hAnsi="Arial" w:cs="Arial"/>
                <w:sz w:val="20"/>
                <w:szCs w:val="20"/>
              </w:rPr>
              <w:t>Socialización a líderes de los barrios del Área de Intervención Integral del territorio Borde Soacha de la localidad de Ciudad Bolívar.</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Adicionalmente, dentro de las actividades de estructuración del Convenio No. 496, entre los meses de julio y agosto, se han realizado 4 jornadas de recolección de documentos de beneficiarios aspirantes al Subsidio de Mejoramiento de Vivienda en Especie – SDVE.</w:t>
      </w: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Durante el mes de junio, se realizó el foro de cierre de obras de los proyectos de la Localidad de Usme que comprende los proyectos CVP 2015 - DANUBIO AZUL - CHIGUAZA – HAB, CVP 2015 - COMUNEROS - USME – HAB, CVP 2015 - VILLA ROSITA - USME – HAB, CVP 2015 - GRAN YOMASA - USME – HAB y CVP 2015 - VIOLETAS - USME – HAB, donde se informó sobre la ejecución presupuestal de cada uno de los proyectos desarrollados y se realizó la presentación de algunos registros fotográficos del antes y después de las obras realizadas en algunos de los hogares beneficiados.</w:t>
      </w:r>
    </w:p>
    <w:p w:rsidR="00BF6199" w:rsidRPr="00CC51E2" w:rsidRDefault="00BF6199" w:rsidP="00BF6199">
      <w:pPr>
        <w:pStyle w:val="Default"/>
        <w:jc w:val="center"/>
        <w:rPr>
          <w:b/>
          <w:sz w:val="20"/>
          <w:szCs w:val="20"/>
        </w:rPr>
      </w:pPr>
      <w:r w:rsidRPr="00CC51E2">
        <w:rPr>
          <w:b/>
          <w:bCs/>
          <w:sz w:val="20"/>
          <w:szCs w:val="20"/>
        </w:rPr>
        <w:t>FICHA DE VALORACION SOCIAL – GESTION SOCIAL DE LA DMV</w:t>
      </w:r>
    </w:p>
    <w:p w:rsidR="00BF6199" w:rsidRPr="00CC51E2" w:rsidRDefault="00BF6199" w:rsidP="00BF6199">
      <w:pPr>
        <w:autoSpaceDE w:val="0"/>
        <w:autoSpaceDN w:val="0"/>
        <w:adjustRightInd w:val="0"/>
        <w:jc w:val="both"/>
        <w:rPr>
          <w:rFonts w:ascii="Arial" w:hAnsi="Arial" w:cs="Arial"/>
          <w:sz w:val="20"/>
          <w:szCs w:val="20"/>
          <w:lang w:eastAsia="es-CO"/>
        </w:rPr>
      </w:pPr>
    </w:p>
    <w:p w:rsidR="00BF6199" w:rsidRPr="00CC51E2" w:rsidRDefault="00BF6199" w:rsidP="00BF6199">
      <w:pPr>
        <w:pStyle w:val="Default"/>
        <w:jc w:val="both"/>
        <w:rPr>
          <w:b/>
          <w:sz w:val="20"/>
          <w:szCs w:val="20"/>
        </w:rPr>
      </w:pPr>
      <w:r w:rsidRPr="00CC51E2">
        <w:rPr>
          <w:color w:val="auto"/>
          <w:sz w:val="20"/>
          <w:szCs w:val="20"/>
        </w:rPr>
        <w:t>A continuación, se realiza un balance general de los resultados más importantes, producto de la aplicación de la Ficha de Valoración Social en cada uno de los hogares que fueron beneficiados con los mejoramientos ejecutados, correspondientes a las APIS 2015.</w:t>
      </w:r>
    </w:p>
    <w:p w:rsidR="00BF6199" w:rsidRPr="00CC51E2" w:rsidRDefault="00BF6199" w:rsidP="00BF6199">
      <w:pPr>
        <w:pStyle w:val="Default"/>
        <w:jc w:val="both"/>
        <w:rPr>
          <w:b/>
          <w:sz w:val="20"/>
          <w:szCs w:val="20"/>
        </w:rPr>
      </w:pPr>
    </w:p>
    <w:p w:rsidR="00BF6199" w:rsidRPr="00CC51E2" w:rsidRDefault="00BF6199" w:rsidP="00BF6199">
      <w:pPr>
        <w:pStyle w:val="Default"/>
        <w:jc w:val="both"/>
        <w:rPr>
          <w:sz w:val="20"/>
          <w:szCs w:val="20"/>
        </w:rPr>
      </w:pPr>
      <w:r w:rsidRPr="00CC51E2">
        <w:rPr>
          <w:sz w:val="20"/>
          <w:szCs w:val="20"/>
        </w:rPr>
        <w:t xml:space="preserve">A 31 de octubre se tienen un total de </w:t>
      </w:r>
      <w:r w:rsidRPr="00CC51E2">
        <w:rPr>
          <w:b/>
          <w:sz w:val="20"/>
          <w:szCs w:val="20"/>
        </w:rPr>
        <w:t>1.493</w:t>
      </w:r>
      <w:r w:rsidRPr="00CC51E2">
        <w:rPr>
          <w:sz w:val="20"/>
          <w:szCs w:val="20"/>
        </w:rPr>
        <w:t xml:space="preserve"> hogares caracterizados con los datos de la parte inicial de la ficha de valoración social, con los cuales se logró identificar a </w:t>
      </w:r>
      <w:r w:rsidRPr="00CC51E2">
        <w:rPr>
          <w:b/>
          <w:sz w:val="20"/>
          <w:szCs w:val="20"/>
        </w:rPr>
        <w:t>5.461</w:t>
      </w:r>
      <w:r w:rsidRPr="00CC51E2">
        <w:rPr>
          <w:sz w:val="20"/>
          <w:szCs w:val="20"/>
        </w:rPr>
        <w:t xml:space="preserve"> personas que han sido beneficiadas con las obras, así:</w:t>
      </w:r>
    </w:p>
    <w:p w:rsidR="00BF6199" w:rsidRPr="00CC51E2" w:rsidRDefault="00BF6199" w:rsidP="00BF6199">
      <w:pPr>
        <w:pStyle w:val="Default"/>
        <w:jc w:val="both"/>
        <w:rPr>
          <w:sz w:val="20"/>
          <w:szCs w:val="20"/>
        </w:rPr>
      </w:pPr>
    </w:p>
    <w:p w:rsidR="00BF6199" w:rsidRPr="00CC51E2" w:rsidRDefault="00BF6199" w:rsidP="00BF6199">
      <w:pPr>
        <w:pStyle w:val="Default"/>
        <w:jc w:val="both"/>
        <w:rPr>
          <w:b/>
          <w:sz w:val="20"/>
          <w:szCs w:val="20"/>
        </w:rPr>
      </w:pPr>
      <w:r w:rsidRPr="00CC51E2">
        <w:rPr>
          <w:b/>
          <w:sz w:val="20"/>
          <w:szCs w:val="20"/>
        </w:rPr>
        <w:t>CARACTERIZACION SOCIAL DE LOS HOGARES</w:t>
      </w:r>
    </w:p>
    <w:p w:rsidR="00BF6199" w:rsidRPr="00CC51E2"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GRUPO ETARIO:</w:t>
      </w:r>
    </w:p>
    <w:p w:rsidR="00BF6199" w:rsidRPr="00CC51E2" w:rsidRDefault="00BF6199" w:rsidP="00BF6199">
      <w:pPr>
        <w:pStyle w:val="Default"/>
        <w:jc w:val="both"/>
        <w:rPr>
          <w:sz w:val="20"/>
          <w:szCs w:val="20"/>
        </w:rPr>
      </w:pPr>
    </w:p>
    <w:tbl>
      <w:tblPr>
        <w:tblW w:w="7265" w:type="dxa"/>
        <w:jc w:val="center"/>
        <w:tblCellMar>
          <w:left w:w="70" w:type="dxa"/>
          <w:right w:w="70" w:type="dxa"/>
        </w:tblCellMar>
        <w:tblLook w:val="04A0" w:firstRow="1" w:lastRow="0" w:firstColumn="1" w:lastColumn="0" w:noHBand="0" w:noVBand="1"/>
      </w:tblPr>
      <w:tblGrid>
        <w:gridCol w:w="4005"/>
        <w:gridCol w:w="1701"/>
        <w:gridCol w:w="1559"/>
      </w:tblGrid>
      <w:tr w:rsidR="00BF6199" w:rsidRPr="00CC51E2" w:rsidTr="00BF6199">
        <w:trPr>
          <w:trHeight w:val="170"/>
          <w:jc w:val="center"/>
        </w:trPr>
        <w:tc>
          <w:tcPr>
            <w:tcW w:w="4005"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GRUPO ETARIO</w:t>
            </w:r>
          </w:p>
        </w:tc>
        <w:tc>
          <w:tcPr>
            <w:tcW w:w="1701"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559"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(0 -5) Primera infancia</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340</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6,2%</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2. (6-12) Infancia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144</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2,6%</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(13 - 17) Adolescencia</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951</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17,4%</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4. (18 - 26) Jóvenes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958</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17,5%</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5. (27 - 59) Adultez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2263</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41,4%</w:t>
            </w:r>
          </w:p>
        </w:tc>
      </w:tr>
      <w:tr w:rsidR="00BF6199" w:rsidRPr="00CC51E2" w:rsidTr="00BF6199">
        <w:trPr>
          <w:trHeight w:val="170"/>
          <w:jc w:val="center"/>
        </w:trPr>
        <w:tc>
          <w:tcPr>
            <w:tcW w:w="4005"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60 + Adelante (Adultos Mayores)</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805</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14,7%</w:t>
            </w:r>
          </w:p>
        </w:tc>
      </w:tr>
      <w:tr w:rsidR="00BF6199" w:rsidRPr="00CC51E2" w:rsidTr="00BF6199">
        <w:trPr>
          <w:trHeight w:val="170"/>
          <w:jc w:val="center"/>
        </w:trPr>
        <w:tc>
          <w:tcPr>
            <w:tcW w:w="4005"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701"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5461</w:t>
            </w:r>
          </w:p>
        </w:tc>
        <w:tc>
          <w:tcPr>
            <w:tcW w:w="1559"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r w:rsidRPr="00CC51E2">
        <w:rPr>
          <w:noProof/>
          <w:sz w:val="20"/>
          <w:szCs w:val="20"/>
          <w:lang w:eastAsia="es-ES"/>
        </w:rPr>
        <w:lastRenderedPageBreak/>
        <w:drawing>
          <wp:inline distT="0" distB="0" distL="0" distR="0" wp14:anchorId="71DBF3F5" wp14:editId="1E2AEF5F">
            <wp:extent cx="4305300" cy="2219325"/>
            <wp:effectExtent l="0" t="0" r="0" b="0"/>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b/>
          <w:sz w:val="20"/>
          <w:szCs w:val="20"/>
        </w:rPr>
      </w:pPr>
      <w:r w:rsidRPr="00CC51E2">
        <w:rPr>
          <w:rFonts w:ascii="Arial" w:hAnsi="Arial" w:cs="Arial"/>
          <w:sz w:val="20"/>
          <w:szCs w:val="20"/>
          <w:lang w:eastAsia="es-CO"/>
        </w:rPr>
        <w:t xml:space="preserve">De la clasificación etaria, se destaca que el </w:t>
      </w:r>
      <w:r w:rsidRPr="00CC51E2">
        <w:rPr>
          <w:rFonts w:ascii="Arial" w:hAnsi="Arial" w:cs="Arial"/>
          <w:b/>
          <w:sz w:val="20"/>
          <w:szCs w:val="20"/>
          <w:lang w:eastAsia="es-CO"/>
        </w:rPr>
        <w:t>4</w:t>
      </w:r>
      <w:r w:rsidRPr="00CC51E2">
        <w:rPr>
          <w:rFonts w:ascii="Arial" w:hAnsi="Arial" w:cs="Arial"/>
          <w:b/>
          <w:bCs/>
          <w:sz w:val="20"/>
          <w:szCs w:val="20"/>
          <w:lang w:eastAsia="es-CO"/>
        </w:rPr>
        <w:t xml:space="preserve">1.4%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2.263</w:t>
      </w:r>
      <w:r w:rsidRPr="00CC51E2">
        <w:rPr>
          <w:rFonts w:ascii="Arial" w:hAnsi="Arial" w:cs="Arial"/>
          <w:sz w:val="20"/>
          <w:szCs w:val="20"/>
          <w:lang w:eastAsia="es-CO"/>
        </w:rPr>
        <w:t xml:space="preserve"> personas, están en la categoría de (27 – 59 años) Adultez.</w:t>
      </w:r>
    </w:p>
    <w:p w:rsidR="00BF6199" w:rsidRPr="00CC51E2" w:rsidRDefault="00BF6199" w:rsidP="00BF6199">
      <w:pPr>
        <w:pStyle w:val="Default"/>
        <w:jc w:val="both"/>
        <w:rPr>
          <w:b/>
          <w:sz w:val="20"/>
          <w:szCs w:val="20"/>
        </w:rPr>
      </w:pPr>
      <w:r w:rsidRPr="00CC51E2">
        <w:rPr>
          <w:b/>
          <w:sz w:val="20"/>
          <w:szCs w:val="20"/>
        </w:rPr>
        <w:t xml:space="preserve">OCUPACION: </w:t>
      </w:r>
    </w:p>
    <w:p w:rsidR="00BF6199" w:rsidRPr="00CC51E2" w:rsidRDefault="00BF6199" w:rsidP="00BF6199">
      <w:pPr>
        <w:pStyle w:val="Default"/>
        <w:jc w:val="both"/>
        <w:rPr>
          <w:b/>
          <w:sz w:val="20"/>
          <w:szCs w:val="20"/>
        </w:rPr>
      </w:pPr>
    </w:p>
    <w:tbl>
      <w:tblPr>
        <w:tblW w:w="6840" w:type="dxa"/>
        <w:jc w:val="center"/>
        <w:tblCellMar>
          <w:left w:w="70" w:type="dxa"/>
          <w:right w:w="70" w:type="dxa"/>
        </w:tblCellMar>
        <w:tblLook w:val="04A0" w:firstRow="1" w:lastRow="0" w:firstColumn="1" w:lastColumn="0" w:noHBand="0" w:noVBand="1"/>
      </w:tblPr>
      <w:tblGrid>
        <w:gridCol w:w="3863"/>
        <w:gridCol w:w="1560"/>
        <w:gridCol w:w="1507"/>
      </w:tblGrid>
      <w:tr w:rsidR="00BF6199" w:rsidRPr="00CC51E2" w:rsidTr="00BF6199">
        <w:trPr>
          <w:trHeight w:val="170"/>
          <w:jc w:val="center"/>
        </w:trPr>
        <w:tc>
          <w:tcPr>
            <w:tcW w:w="3863"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OCUPACION</w:t>
            </w:r>
          </w:p>
        </w:tc>
        <w:tc>
          <w:tcPr>
            <w:tcW w:w="1560"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41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Estudiante</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1536</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28,0%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Empleado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1234</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22,5%</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Independiente</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658</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Hogar</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933</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Pensionado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97</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Trabajo informal</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489</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8,9%</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Desempleado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90</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En busca de empleo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104</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1,9%</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Fuerzas Militares</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3863"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Sin actividad</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334</w:t>
            </w:r>
          </w:p>
        </w:tc>
        <w:tc>
          <w:tcPr>
            <w:tcW w:w="1417" w:type="dxa"/>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6,1%</w:t>
            </w:r>
          </w:p>
        </w:tc>
      </w:tr>
      <w:tr w:rsidR="00BF6199" w:rsidRPr="00CC51E2" w:rsidTr="00BF6199">
        <w:trPr>
          <w:trHeight w:val="170"/>
          <w:jc w:val="center"/>
        </w:trPr>
        <w:tc>
          <w:tcPr>
            <w:tcW w:w="3863"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560"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5493</w:t>
            </w:r>
          </w:p>
        </w:tc>
        <w:tc>
          <w:tcPr>
            <w:tcW w:w="141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b/>
          <w:sz w:val="20"/>
          <w:szCs w:val="20"/>
        </w:rPr>
      </w:pPr>
      <w:r w:rsidRPr="00CC51E2">
        <w:rPr>
          <w:noProof/>
          <w:sz w:val="20"/>
          <w:szCs w:val="20"/>
          <w:lang w:eastAsia="es-ES"/>
        </w:rPr>
        <w:lastRenderedPageBreak/>
        <w:drawing>
          <wp:inline distT="0" distB="0" distL="0" distR="0" wp14:anchorId="702DE29B" wp14:editId="2B5B3F02">
            <wp:extent cx="4419600" cy="1962150"/>
            <wp:effectExtent l="0" t="0" r="0" b="0"/>
            <wp:docPr id="3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F6199" w:rsidRPr="00CC51E2" w:rsidRDefault="00BF6199" w:rsidP="00BF6199">
      <w:pPr>
        <w:pStyle w:val="Default"/>
        <w:jc w:val="center"/>
        <w:rPr>
          <w:b/>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lang w:eastAsia="es-CO"/>
        </w:rPr>
        <w:t xml:space="preserve">En la clasificación por ocupación, se destaca que el </w:t>
      </w:r>
      <w:r w:rsidRPr="00CC51E2">
        <w:rPr>
          <w:rFonts w:ascii="Arial" w:hAnsi="Arial" w:cs="Arial"/>
          <w:b/>
          <w:sz w:val="20"/>
          <w:szCs w:val="20"/>
          <w:lang w:eastAsia="es-CO"/>
        </w:rPr>
        <w:t>28</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1.536</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personas son estudiantes y </w:t>
      </w:r>
      <w:r w:rsidRPr="00CC51E2">
        <w:rPr>
          <w:rFonts w:ascii="Arial" w:hAnsi="Arial" w:cs="Arial"/>
          <w:b/>
          <w:sz w:val="20"/>
          <w:szCs w:val="20"/>
          <w:lang w:eastAsia="es-CO"/>
        </w:rPr>
        <w:t>22.5</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 a </w:t>
      </w:r>
      <w:r w:rsidRPr="00CC51E2">
        <w:rPr>
          <w:rFonts w:ascii="Arial" w:hAnsi="Arial" w:cs="Arial"/>
          <w:b/>
          <w:sz w:val="20"/>
          <w:szCs w:val="20"/>
          <w:lang w:eastAsia="es-CO"/>
        </w:rPr>
        <w:t>1.234</w:t>
      </w:r>
      <w:r w:rsidRPr="00CC51E2">
        <w:rPr>
          <w:rFonts w:ascii="Arial" w:hAnsi="Arial" w:cs="Arial"/>
          <w:bCs/>
          <w:sz w:val="20"/>
          <w:szCs w:val="20"/>
          <w:lang w:eastAsia="es-CO"/>
        </w:rPr>
        <w:t xml:space="preserve"> son </w:t>
      </w:r>
      <w:r w:rsidRPr="00CC51E2">
        <w:rPr>
          <w:rFonts w:ascii="Arial" w:hAnsi="Arial" w:cs="Arial"/>
          <w:sz w:val="20"/>
          <w:szCs w:val="20"/>
          <w:lang w:eastAsia="es-CO"/>
        </w:rPr>
        <w:t>personas que están en condición de empleado.</w:t>
      </w:r>
    </w:p>
    <w:p w:rsidR="00BF6199"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NIVEL DE ESCOLARIDAD:</w:t>
      </w:r>
    </w:p>
    <w:p w:rsidR="00BF6199" w:rsidRPr="00CC51E2" w:rsidRDefault="00BF6199" w:rsidP="00BF6199">
      <w:pPr>
        <w:pStyle w:val="Default"/>
        <w:jc w:val="both"/>
        <w:rPr>
          <w:b/>
          <w:sz w:val="20"/>
          <w:szCs w:val="20"/>
        </w:rPr>
      </w:pPr>
    </w:p>
    <w:tbl>
      <w:tblPr>
        <w:tblW w:w="0" w:type="auto"/>
        <w:jc w:val="center"/>
        <w:tblCellMar>
          <w:left w:w="70" w:type="dxa"/>
          <w:right w:w="70" w:type="dxa"/>
        </w:tblCellMar>
        <w:tblLook w:val="04A0" w:firstRow="1" w:lastRow="0" w:firstColumn="1" w:lastColumn="0" w:noHBand="0" w:noVBand="1"/>
      </w:tblPr>
      <w:tblGrid>
        <w:gridCol w:w="4454"/>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NIVEL DE ESCOLARIDAD</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Ed. Inicial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4,7%</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Primaria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1909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35,0%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Secundaria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2484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45,6%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Técnico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211</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3,9%</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Tecnología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Universitaria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218</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Postgrado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Analfabeta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Niños, niñas y adolescentes desescolarizados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0,02%</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Ninguno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241</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4,4%</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5453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p>
    <w:p w:rsidR="00BF6199" w:rsidRPr="00CC51E2" w:rsidRDefault="00BF6199" w:rsidP="00BF6199">
      <w:pPr>
        <w:pStyle w:val="Default"/>
        <w:jc w:val="center"/>
        <w:rPr>
          <w:sz w:val="20"/>
          <w:szCs w:val="20"/>
        </w:rPr>
      </w:pPr>
    </w:p>
    <w:p w:rsidR="00BF6199" w:rsidRPr="00CC51E2" w:rsidRDefault="00BF6199" w:rsidP="00BF6199">
      <w:pPr>
        <w:pStyle w:val="Default"/>
        <w:rPr>
          <w:sz w:val="20"/>
          <w:szCs w:val="20"/>
        </w:rPr>
      </w:pPr>
      <w:r w:rsidRPr="00CC51E2">
        <w:rPr>
          <w:noProof/>
          <w:sz w:val="20"/>
          <w:szCs w:val="20"/>
          <w:lang w:eastAsia="es-ES"/>
        </w:rPr>
        <w:lastRenderedPageBreak/>
        <w:drawing>
          <wp:anchor distT="0" distB="0" distL="114300" distR="114300" simplePos="0" relativeHeight="251736064" behindDoc="0" locked="0" layoutInCell="1" allowOverlap="1" wp14:anchorId="668CFC60" wp14:editId="49BAE81C">
            <wp:simplePos x="0" y="0"/>
            <wp:positionH relativeFrom="column">
              <wp:posOffset>361315</wp:posOffset>
            </wp:positionH>
            <wp:positionV relativeFrom="paragraph">
              <wp:posOffset>0</wp:posOffset>
            </wp:positionV>
            <wp:extent cx="4880610" cy="1697355"/>
            <wp:effectExtent l="0" t="0" r="2540" b="0"/>
            <wp:wrapSquare wrapText="right"/>
            <wp:docPr id="38" name="Grá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BF6199" w:rsidRPr="00CC51E2" w:rsidRDefault="00BF6199" w:rsidP="00BF6199">
      <w:pPr>
        <w:pStyle w:val="Default"/>
        <w:jc w:val="center"/>
        <w:rPr>
          <w:sz w:val="20"/>
          <w:szCs w:val="20"/>
        </w:rPr>
      </w:pPr>
    </w:p>
    <w:p w:rsidR="00BF6199" w:rsidRPr="00CC51E2" w:rsidRDefault="00BF6199" w:rsidP="00BF6199">
      <w:pPr>
        <w:pStyle w:val="Default"/>
        <w:jc w:val="center"/>
        <w:rPr>
          <w:sz w:val="20"/>
          <w:szCs w:val="20"/>
        </w:rPr>
      </w:pPr>
    </w:p>
    <w:p w:rsidR="00BF6199" w:rsidRPr="00CC51E2" w:rsidRDefault="00BF6199" w:rsidP="00BF6199">
      <w:pPr>
        <w:pStyle w:val="Default"/>
        <w:jc w:val="center"/>
        <w:rPr>
          <w:sz w:val="20"/>
          <w:szCs w:val="20"/>
        </w:rPr>
      </w:pPr>
    </w:p>
    <w:p w:rsidR="00BF6199" w:rsidRPr="00CC51E2" w:rsidRDefault="00BF6199" w:rsidP="00BF6199">
      <w:pPr>
        <w:pStyle w:val="Default"/>
        <w:jc w:val="center"/>
        <w:rPr>
          <w:b/>
          <w:sz w:val="20"/>
          <w:szCs w:val="20"/>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r w:rsidRPr="00CC51E2">
        <w:rPr>
          <w:rFonts w:ascii="Arial" w:hAnsi="Arial" w:cs="Arial"/>
          <w:sz w:val="20"/>
          <w:szCs w:val="20"/>
          <w:lang w:eastAsia="es-CO"/>
        </w:rPr>
        <w:t xml:space="preserve">Por nivel de escolaridad se tiene que el </w:t>
      </w:r>
      <w:r w:rsidRPr="00CC51E2">
        <w:rPr>
          <w:rFonts w:ascii="Arial" w:hAnsi="Arial" w:cs="Arial"/>
          <w:b/>
          <w:sz w:val="20"/>
          <w:szCs w:val="20"/>
          <w:lang w:eastAsia="es-CO"/>
        </w:rPr>
        <w:t>45.6</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2.484</w:t>
      </w:r>
      <w:r w:rsidRPr="00CC51E2">
        <w:rPr>
          <w:rFonts w:ascii="Arial" w:hAnsi="Arial" w:cs="Arial"/>
          <w:bCs/>
          <w:sz w:val="20"/>
          <w:szCs w:val="20"/>
          <w:lang w:eastAsia="es-CO"/>
        </w:rPr>
        <w:t xml:space="preserve"> tienen su secundaria completa o la están cursando en estos momentos y el </w:t>
      </w:r>
      <w:r w:rsidRPr="00CC51E2">
        <w:rPr>
          <w:rFonts w:ascii="Arial" w:hAnsi="Arial" w:cs="Arial"/>
          <w:b/>
          <w:sz w:val="20"/>
          <w:szCs w:val="20"/>
          <w:lang w:eastAsia="es-CO"/>
        </w:rPr>
        <w:t>35</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1.909 </w:t>
      </w:r>
      <w:r w:rsidRPr="00CC51E2">
        <w:rPr>
          <w:rFonts w:ascii="Arial" w:hAnsi="Arial" w:cs="Arial"/>
          <w:sz w:val="20"/>
          <w:szCs w:val="20"/>
          <w:lang w:eastAsia="es-CO"/>
        </w:rPr>
        <w:t>personas, tienen su primaria completa.</w:t>
      </w:r>
    </w:p>
    <w:p w:rsidR="00BF6199"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GRUPO POBLACIONAL:</w:t>
      </w:r>
    </w:p>
    <w:p w:rsidR="00BF6199" w:rsidRPr="00CC51E2" w:rsidRDefault="00BF6199" w:rsidP="00BF6199">
      <w:pPr>
        <w:pStyle w:val="Default"/>
        <w:jc w:val="center"/>
        <w:rPr>
          <w:sz w:val="20"/>
          <w:szCs w:val="20"/>
        </w:rPr>
      </w:pPr>
    </w:p>
    <w:tbl>
      <w:tblPr>
        <w:tblW w:w="8070" w:type="dxa"/>
        <w:jc w:val="center"/>
        <w:tblCellMar>
          <w:left w:w="70" w:type="dxa"/>
          <w:right w:w="70" w:type="dxa"/>
        </w:tblCellMar>
        <w:tblLook w:val="04A0" w:firstRow="1" w:lastRow="0" w:firstColumn="1" w:lastColumn="0" w:noHBand="0" w:noVBand="1"/>
      </w:tblPr>
      <w:tblGrid>
        <w:gridCol w:w="5519"/>
        <w:gridCol w:w="1417"/>
        <w:gridCol w:w="1507"/>
      </w:tblGrid>
      <w:tr w:rsidR="00BF6199" w:rsidRPr="00CC51E2" w:rsidTr="00BF6199">
        <w:trPr>
          <w:trHeight w:val="170"/>
          <w:jc w:val="center"/>
        </w:trPr>
        <w:tc>
          <w:tcPr>
            <w:tcW w:w="5519"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GRUPO POBLACIONAL</w:t>
            </w:r>
          </w:p>
        </w:tc>
        <w:tc>
          <w:tcPr>
            <w:tcW w:w="1417"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134"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Padre / Madre Cabeza de familia</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487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Madre gestante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Madre lactante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Vinculados a la prostitución</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Consumidor de SPA (Sustancias psicoactivas)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6. Familias en emergencia social y catastrófica </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0,6%</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Víctima de conflicto armado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398</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7,2%</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Desplazado por la violencia</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45</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Campesino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101</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Habitante de la Calle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 Niños, niñas, adolescentes en vinculación temprana al trabajo.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0,04%</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 Desmovilizado de grupos armados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13. Ninguno de los anteriores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4397</w:t>
            </w:r>
          </w:p>
        </w:tc>
        <w:tc>
          <w:tcPr>
            <w:tcW w:w="1134" w:type="dxa"/>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79,7%</w:t>
            </w:r>
          </w:p>
        </w:tc>
      </w:tr>
      <w:tr w:rsidR="00BF6199" w:rsidRPr="00CC51E2" w:rsidTr="00BF6199">
        <w:trPr>
          <w:trHeight w:val="170"/>
          <w:jc w:val="center"/>
        </w:trPr>
        <w:tc>
          <w:tcPr>
            <w:tcW w:w="5519"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417"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5514</w:t>
            </w:r>
          </w:p>
        </w:tc>
        <w:tc>
          <w:tcPr>
            <w:tcW w:w="1134"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r w:rsidRPr="00CC51E2">
        <w:rPr>
          <w:noProof/>
          <w:sz w:val="20"/>
          <w:szCs w:val="20"/>
          <w:lang w:eastAsia="es-ES"/>
        </w:rPr>
        <w:drawing>
          <wp:inline distT="0" distB="0" distL="0" distR="0" wp14:anchorId="22674FF8" wp14:editId="70738FBE">
            <wp:extent cx="5343525" cy="1838325"/>
            <wp:effectExtent l="0" t="0" r="0" b="0"/>
            <wp:docPr id="29"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F6199" w:rsidRPr="00CC51E2" w:rsidRDefault="00BF6199" w:rsidP="00BF6199">
      <w:pPr>
        <w:jc w:val="both"/>
        <w:rPr>
          <w:rFonts w:ascii="Arial" w:hAnsi="Arial" w:cs="Arial"/>
          <w:sz w:val="20"/>
          <w:szCs w:val="20"/>
          <w:lang w:eastAsia="es-CO"/>
        </w:rPr>
      </w:pPr>
      <w:r w:rsidRPr="00CC51E2">
        <w:rPr>
          <w:rFonts w:ascii="Arial" w:hAnsi="Arial" w:cs="Arial"/>
          <w:sz w:val="20"/>
          <w:szCs w:val="20"/>
          <w:lang w:eastAsia="es-CO"/>
        </w:rPr>
        <w:t xml:space="preserve">Para la distribución poblacional se encontró que el </w:t>
      </w:r>
      <w:r w:rsidRPr="00CC51E2">
        <w:rPr>
          <w:rFonts w:ascii="Arial" w:hAnsi="Arial" w:cs="Arial"/>
          <w:b/>
          <w:sz w:val="20"/>
          <w:szCs w:val="20"/>
          <w:lang w:eastAsia="es-CO"/>
        </w:rPr>
        <w:t>8.8</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487 </w:t>
      </w:r>
      <w:r w:rsidRPr="00CC51E2">
        <w:rPr>
          <w:rFonts w:ascii="Arial" w:hAnsi="Arial" w:cs="Arial"/>
          <w:bCs/>
          <w:sz w:val="20"/>
          <w:szCs w:val="20"/>
          <w:lang w:eastAsia="es-CO"/>
        </w:rPr>
        <w:t xml:space="preserve">personas, son padre o madre cabeza de familia y el </w:t>
      </w:r>
      <w:r w:rsidRPr="00CC51E2">
        <w:rPr>
          <w:rFonts w:ascii="Arial" w:hAnsi="Arial" w:cs="Arial"/>
          <w:b/>
          <w:bCs/>
          <w:sz w:val="20"/>
          <w:szCs w:val="20"/>
          <w:lang w:eastAsia="es-CO"/>
        </w:rPr>
        <w:t>7.2%</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398 </w:t>
      </w:r>
      <w:r w:rsidRPr="00CC51E2">
        <w:rPr>
          <w:rFonts w:ascii="Arial" w:hAnsi="Arial" w:cs="Arial"/>
          <w:sz w:val="20"/>
          <w:szCs w:val="20"/>
          <w:lang w:eastAsia="es-CO"/>
        </w:rPr>
        <w:t>personas, son víctimas del conflicto armado.</w:t>
      </w:r>
    </w:p>
    <w:p w:rsidR="00BF6199" w:rsidRPr="00CC51E2" w:rsidRDefault="00BF6199" w:rsidP="00BF6199">
      <w:pPr>
        <w:jc w:val="both"/>
        <w:rPr>
          <w:rFonts w:ascii="Arial" w:hAnsi="Arial" w:cs="Arial"/>
          <w:b/>
          <w:sz w:val="20"/>
          <w:szCs w:val="20"/>
          <w:lang w:eastAsia="es-CO"/>
        </w:rPr>
      </w:pPr>
      <w:r w:rsidRPr="00CC51E2">
        <w:rPr>
          <w:rFonts w:ascii="Arial" w:hAnsi="Arial" w:cs="Arial"/>
          <w:b/>
          <w:sz w:val="20"/>
          <w:szCs w:val="20"/>
          <w:lang w:eastAsia="es-CO"/>
        </w:rPr>
        <w:t>DISCAPACIDAD:</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DISCAPACIDAD</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296</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5165</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94,6%</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5461</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lang w:eastAsia="es-CO"/>
        </w:rPr>
      </w:pPr>
      <w:r w:rsidRPr="00CC51E2">
        <w:rPr>
          <w:rFonts w:ascii="Arial" w:hAnsi="Arial" w:cs="Arial"/>
          <w:noProof/>
          <w:sz w:val="20"/>
          <w:szCs w:val="20"/>
          <w:lang w:val="es-ES" w:eastAsia="es-ES"/>
        </w:rPr>
        <w:drawing>
          <wp:inline distT="0" distB="0" distL="0" distR="0" wp14:anchorId="1C5E6423" wp14:editId="6C344CC8">
            <wp:extent cx="4038600" cy="1695450"/>
            <wp:effectExtent l="0" t="0" r="0" b="0"/>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eastAsia="es-CO"/>
        </w:rPr>
        <w:t xml:space="preserve">El </w:t>
      </w:r>
      <w:r w:rsidRPr="00CC51E2">
        <w:rPr>
          <w:rFonts w:ascii="Arial" w:hAnsi="Arial" w:cs="Arial"/>
          <w:b/>
          <w:sz w:val="20"/>
          <w:szCs w:val="20"/>
          <w:lang w:eastAsia="es-CO"/>
        </w:rPr>
        <w:t>5.4</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293</w:t>
      </w:r>
      <w:r w:rsidRPr="00CC51E2">
        <w:rPr>
          <w:rFonts w:ascii="Arial" w:hAnsi="Arial" w:cs="Arial"/>
          <w:bCs/>
          <w:sz w:val="20"/>
          <w:szCs w:val="20"/>
          <w:lang w:eastAsia="es-CO"/>
        </w:rPr>
        <w:t xml:space="preserve"> personas, presentan algún tipo de discapacidad física.</w:t>
      </w:r>
    </w:p>
    <w:p w:rsidR="00BD4DF1" w:rsidRDefault="00BD4DF1" w:rsidP="00BF6199">
      <w:pPr>
        <w:jc w:val="both"/>
        <w:rPr>
          <w:rFonts w:ascii="Arial" w:hAnsi="Arial" w:cs="Arial"/>
          <w:b/>
          <w:bCs/>
          <w:sz w:val="20"/>
          <w:szCs w:val="20"/>
          <w:lang w:eastAsia="es-CO"/>
        </w:rPr>
      </w:pPr>
    </w:p>
    <w:p w:rsidR="00BD4DF1" w:rsidRDefault="00BD4DF1" w:rsidP="00BF6199">
      <w:pPr>
        <w:jc w:val="both"/>
        <w:rPr>
          <w:rFonts w:ascii="Arial" w:hAnsi="Arial" w:cs="Arial"/>
          <w:b/>
          <w:bCs/>
          <w:sz w:val="20"/>
          <w:szCs w:val="20"/>
          <w:lang w:eastAsia="es-CO"/>
        </w:rPr>
      </w:pPr>
    </w:p>
    <w:p w:rsidR="00BF6199" w:rsidRPr="00CC51E2" w:rsidRDefault="00BF6199" w:rsidP="00BF6199">
      <w:pPr>
        <w:jc w:val="both"/>
        <w:rPr>
          <w:rFonts w:ascii="Arial" w:hAnsi="Arial" w:cs="Arial"/>
          <w:bCs/>
          <w:sz w:val="20"/>
          <w:szCs w:val="20"/>
          <w:lang w:eastAsia="es-CO"/>
        </w:rPr>
      </w:pPr>
      <w:r w:rsidRPr="00CC51E2">
        <w:rPr>
          <w:rFonts w:ascii="Arial" w:hAnsi="Arial" w:cs="Arial"/>
          <w:b/>
          <w:bCs/>
          <w:sz w:val="20"/>
          <w:szCs w:val="20"/>
          <w:lang w:eastAsia="es-CO"/>
        </w:rPr>
        <w:lastRenderedPageBreak/>
        <w:t>PERCEPCION DE OBRA:</w:t>
      </w: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rPr>
        <w:t xml:space="preserve">A 31 de octubre se tienen un total de </w:t>
      </w:r>
      <w:r w:rsidRPr="00CC51E2">
        <w:rPr>
          <w:rFonts w:ascii="Arial" w:hAnsi="Arial" w:cs="Arial"/>
          <w:b/>
          <w:sz w:val="20"/>
          <w:szCs w:val="20"/>
          <w:lang w:val="es-ES"/>
        </w:rPr>
        <w:t>1.272</w:t>
      </w:r>
      <w:r w:rsidRPr="00CC51E2">
        <w:rPr>
          <w:rFonts w:ascii="Arial" w:hAnsi="Arial" w:cs="Arial"/>
          <w:sz w:val="20"/>
          <w:szCs w:val="20"/>
          <w:lang w:val="es-ES"/>
        </w:rPr>
        <w:t xml:space="preserve"> hogares caracterizados con los datos sobre la percepción de las obras realizadas en sus viviendas y que a continuación se expresan los resultados obtenidos a la fecha, así:</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¿Después de la ejecución del mejoramiento de vivienda lo motivó a usted a continuar haciendo mejoras a la casa /apto. con recursos propios?</w:t>
      </w:r>
    </w:p>
    <w:tbl>
      <w:tblPr>
        <w:tblW w:w="9071" w:type="dxa"/>
        <w:tblInd w:w="80" w:type="dxa"/>
        <w:tblCellMar>
          <w:left w:w="70" w:type="dxa"/>
          <w:right w:w="70" w:type="dxa"/>
        </w:tblCellMar>
        <w:tblLook w:val="04A0" w:firstRow="1" w:lastRow="0" w:firstColumn="1" w:lastColumn="0" w:noHBand="0" w:noVBand="1"/>
      </w:tblPr>
      <w:tblGrid>
        <w:gridCol w:w="6260"/>
        <w:gridCol w:w="1304"/>
        <w:gridCol w:w="1507"/>
      </w:tblGrid>
      <w:tr w:rsidR="00BF6199" w:rsidRPr="00CC51E2" w:rsidTr="00BF6199">
        <w:trPr>
          <w:trHeight w:val="235"/>
        </w:trPr>
        <w:tc>
          <w:tcPr>
            <w:tcW w:w="6260" w:type="dxa"/>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¿Después de la ejecución del mejoramiento de vivienda lo motivó a usted a continuar haciendo mejoras a la casa /apto. con recursos propios?</w:t>
            </w:r>
          </w:p>
        </w:tc>
        <w:tc>
          <w:tcPr>
            <w:tcW w:w="1304"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50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6260"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130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580</w:t>
            </w:r>
          </w:p>
        </w:tc>
        <w:tc>
          <w:tcPr>
            <w:tcW w:w="150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45,6%</w:t>
            </w:r>
          </w:p>
        </w:tc>
      </w:tr>
      <w:tr w:rsidR="00BF6199" w:rsidRPr="00CC51E2" w:rsidTr="00BF6199">
        <w:trPr>
          <w:trHeight w:val="170"/>
        </w:trPr>
        <w:tc>
          <w:tcPr>
            <w:tcW w:w="6260"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130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692</w:t>
            </w:r>
          </w:p>
        </w:tc>
        <w:tc>
          <w:tcPr>
            <w:tcW w:w="150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54,4%</w:t>
            </w:r>
          </w:p>
        </w:tc>
      </w:tr>
      <w:tr w:rsidR="00BF6199" w:rsidRPr="00CC51E2" w:rsidTr="00BF6199">
        <w:trPr>
          <w:trHeight w:val="170"/>
        </w:trPr>
        <w:tc>
          <w:tcPr>
            <w:tcW w:w="6260"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304"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1272</w:t>
            </w:r>
          </w:p>
        </w:tc>
        <w:tc>
          <w:tcPr>
            <w:tcW w:w="150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2D728C18" wp14:editId="1E753CE1">
            <wp:extent cx="4905375" cy="1171575"/>
            <wp:effectExtent l="0" t="0" r="0" b="0"/>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F6199" w:rsidRPr="00CC51E2" w:rsidRDefault="00BF6199" w:rsidP="00BF6199">
      <w:pPr>
        <w:jc w:val="center"/>
        <w:rPr>
          <w:rFonts w:ascii="Arial" w:hAnsi="Arial" w:cs="Arial"/>
          <w:sz w:val="20"/>
          <w:szCs w:val="20"/>
        </w:rPr>
      </w:pP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45.6%</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580</w:t>
      </w:r>
      <w:r w:rsidRPr="00CC51E2">
        <w:rPr>
          <w:rFonts w:ascii="Arial" w:hAnsi="Arial" w:cs="Arial"/>
          <w:sz w:val="20"/>
          <w:szCs w:val="20"/>
          <w:lang w:val="es-ES" w:eastAsia="es-ES"/>
        </w:rPr>
        <w:t xml:space="preserve"> familias manifiestan haber continuado haciendo mejoras después de haberse ejecutado el mejoramiento de vivienda.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 xml:space="preserve">¿En cuanto a la limpieza y aseo de la casa / apto. el mejoramiento de vivienda Influyó?  </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¿En cuanto a la limpieza y aseo de la casa / apto. el mejoramiento de vivienda Influyó?  </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1239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97,4%</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2,6%</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1272</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lastRenderedPageBreak/>
        <w:drawing>
          <wp:inline distT="0" distB="0" distL="0" distR="0" wp14:anchorId="12AD3425" wp14:editId="19B62FF5">
            <wp:extent cx="4914900" cy="1171575"/>
            <wp:effectExtent l="0" t="0" r="0" b="0"/>
            <wp:docPr id="26"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97.4%</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1.239</w:t>
      </w:r>
      <w:r w:rsidRPr="00CC51E2">
        <w:rPr>
          <w:rFonts w:ascii="Arial" w:hAnsi="Arial" w:cs="Arial"/>
          <w:sz w:val="20"/>
          <w:szCs w:val="20"/>
          <w:lang w:val="es-ES" w:eastAsia="es-ES"/>
        </w:rPr>
        <w:t xml:space="preserve"> familias manifiestan que las obras realizadas en su vivienda, contribuyeron a mejorar la limpieza y aseo de la misma.</w:t>
      </w:r>
    </w:p>
    <w:p w:rsidR="00BF6199" w:rsidRPr="00CC51E2" w:rsidRDefault="00BF6199" w:rsidP="00BF6199">
      <w:pPr>
        <w:autoSpaceDE w:val="0"/>
        <w:autoSpaceDN w:val="0"/>
        <w:adjustRightInd w:val="0"/>
        <w:jc w:val="both"/>
        <w:rPr>
          <w:rFonts w:ascii="Arial" w:hAnsi="Arial" w:cs="Arial"/>
          <w:b/>
          <w:sz w:val="20"/>
          <w:szCs w:val="20"/>
          <w:lang w:val="es-ES" w:eastAsia="es-ES"/>
        </w:rPr>
      </w:pPr>
      <w:r w:rsidRPr="00CC51E2">
        <w:rPr>
          <w:rFonts w:ascii="Arial" w:hAnsi="Arial" w:cs="Arial"/>
          <w:b/>
          <w:sz w:val="20"/>
          <w:szCs w:val="20"/>
          <w:lang w:val="es-ES" w:eastAsia="es-ES"/>
        </w:rPr>
        <w:t>Si la repuesta es positiva, determine cómo influye:</w:t>
      </w:r>
    </w:p>
    <w:tbl>
      <w:tblPr>
        <w:tblW w:w="0" w:type="auto"/>
        <w:jc w:val="center"/>
        <w:tblCellMar>
          <w:left w:w="70" w:type="dxa"/>
          <w:right w:w="70" w:type="dxa"/>
        </w:tblCellMar>
        <w:tblLook w:val="04A0" w:firstRow="1" w:lastRow="0" w:firstColumn="1" w:lastColumn="0" w:noHBand="0" w:noVBand="1"/>
      </w:tblPr>
      <w:tblGrid>
        <w:gridCol w:w="6226"/>
        <w:gridCol w:w="1301"/>
        <w:gridCol w:w="1507"/>
      </w:tblGrid>
      <w:tr w:rsidR="00BF6199" w:rsidRPr="00CC51E2" w:rsidTr="00BF6199">
        <w:trPr>
          <w:trHeight w:val="170"/>
          <w:jc w:val="center"/>
        </w:trPr>
        <w:tc>
          <w:tcPr>
            <w:tcW w:w="6226"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Si la repuesta es positiva, determine cómo influye.</w:t>
            </w:r>
          </w:p>
        </w:tc>
        <w:tc>
          <w:tcPr>
            <w:tcW w:w="1301" w:type="dxa"/>
            <w:tcBorders>
              <w:top w:val="single" w:sz="8"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4"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Es más fácil asear la casa  </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689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36,9%</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realiza el aseo de la casa con más frecuencia</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17,1%</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motivó a mantener su casa más limpia y aseada</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18,4%</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Ha motivado a otros miembros del hogar a realizar el aseo de la casa o algunas áreas</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4,0%</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Todos los anteriores</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23,2%</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0,5%</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301" w:type="dxa"/>
            <w:tcBorders>
              <w:top w:val="single" w:sz="4"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1869</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7D5A8C89" wp14:editId="15CE6F5D">
            <wp:extent cx="5124450" cy="1990725"/>
            <wp:effectExtent l="0" t="0" r="0" b="0"/>
            <wp:docPr id="25"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lastRenderedPageBreak/>
        <w:t xml:space="preserve">De los hogares encuestados, el </w:t>
      </w:r>
      <w:r w:rsidRPr="00CC51E2">
        <w:rPr>
          <w:rFonts w:ascii="Arial" w:hAnsi="Arial" w:cs="Arial"/>
          <w:b/>
          <w:sz w:val="20"/>
          <w:szCs w:val="20"/>
          <w:lang w:val="es-ES" w:eastAsia="es-ES"/>
        </w:rPr>
        <w:t>36.9%</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689</w:t>
      </w:r>
      <w:r w:rsidRPr="00CC51E2">
        <w:rPr>
          <w:rFonts w:ascii="Arial" w:hAnsi="Arial" w:cs="Arial"/>
          <w:sz w:val="20"/>
          <w:szCs w:val="20"/>
          <w:lang w:val="es-ES" w:eastAsia="es-ES"/>
        </w:rPr>
        <w:t xml:space="preserve"> familias manifestaron que con las obras realizadas es más fácil asear la casa y el </w:t>
      </w:r>
      <w:r w:rsidRPr="00CC51E2">
        <w:rPr>
          <w:rFonts w:ascii="Arial" w:hAnsi="Arial" w:cs="Arial"/>
          <w:b/>
          <w:sz w:val="20"/>
          <w:szCs w:val="20"/>
          <w:lang w:val="es-ES" w:eastAsia="es-ES"/>
        </w:rPr>
        <w:t>17.1%</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319</w:t>
      </w:r>
      <w:r w:rsidRPr="00CC51E2">
        <w:rPr>
          <w:rFonts w:ascii="Arial" w:hAnsi="Arial" w:cs="Arial"/>
          <w:sz w:val="20"/>
          <w:szCs w:val="20"/>
          <w:lang w:val="es-ES" w:eastAsia="es-ES"/>
        </w:rPr>
        <w:t xml:space="preserve"> familias, realizan el aseo de su vivienda con mayor frecuencia.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 xml:space="preserve">¿Considera usted que el mejoramiento de vivienda realizado, influyó en el bienestar de su familia?  </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¿Considera usted que el mejoramiento de vivienda realizado, influyó en el bienestar de su familia?  </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1249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98,8%</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1264</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2B93058C" wp14:editId="42489FA1">
            <wp:extent cx="5124450" cy="1352550"/>
            <wp:effectExtent l="0" t="0" r="0" b="0"/>
            <wp:docPr id="24"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98.8%</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1249</w:t>
      </w:r>
      <w:r w:rsidRPr="00CC51E2">
        <w:rPr>
          <w:rFonts w:ascii="Arial" w:hAnsi="Arial" w:cs="Arial"/>
          <w:sz w:val="20"/>
          <w:szCs w:val="20"/>
          <w:lang w:val="es-ES" w:eastAsia="es-ES"/>
        </w:rPr>
        <w:t xml:space="preserve"> familias, manifestaron que las obras realizadas en su vivienda influyeron en el bienestar de su núcleo familiar.</w:t>
      </w:r>
    </w:p>
    <w:p w:rsidR="00BF6199"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Si la repuesta es positiva, determine cómo influye:</w:t>
      </w:r>
    </w:p>
    <w:p w:rsidR="007A396B" w:rsidRPr="00CC51E2" w:rsidRDefault="007A396B" w:rsidP="00BF6199">
      <w:pPr>
        <w:jc w:val="both"/>
        <w:rPr>
          <w:rFonts w:ascii="Arial" w:hAnsi="Arial" w:cs="Arial"/>
          <w:b/>
          <w:bCs/>
          <w:sz w:val="20"/>
          <w:szCs w:val="20"/>
          <w:lang w:eastAsia="es-CO"/>
        </w:rPr>
      </w:pPr>
    </w:p>
    <w:tbl>
      <w:tblPr>
        <w:tblW w:w="0" w:type="auto"/>
        <w:jc w:val="center"/>
        <w:tblCellMar>
          <w:left w:w="70" w:type="dxa"/>
          <w:right w:w="70" w:type="dxa"/>
        </w:tblCellMar>
        <w:tblLook w:val="04A0" w:firstRow="1" w:lastRow="0" w:firstColumn="1" w:lastColumn="0" w:noHBand="0" w:noVBand="1"/>
      </w:tblPr>
      <w:tblGrid>
        <w:gridCol w:w="5009"/>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Si la repuesta es posititva, determine cómo influye.</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Salud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695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28,6%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Convivencia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402</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Seguridad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Comodidad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670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27,5%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Ingresos económicos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1,4%</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Disminuyó el costo de servicios públicos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Todos los anteriores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385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15,8%</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0,1%</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2433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7720C02C" wp14:editId="3E794C46">
            <wp:extent cx="5114925" cy="1647825"/>
            <wp:effectExtent l="0" t="0" r="0" b="0"/>
            <wp:docPr id="23"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eastAsia="es-ES"/>
        </w:rPr>
        <w:t xml:space="preserve">De los hogares encuestados, el </w:t>
      </w:r>
      <w:r w:rsidRPr="00CC51E2">
        <w:rPr>
          <w:rFonts w:ascii="Arial" w:hAnsi="Arial" w:cs="Arial"/>
          <w:b/>
          <w:sz w:val="20"/>
          <w:szCs w:val="20"/>
          <w:lang w:val="es-ES" w:eastAsia="es-ES"/>
        </w:rPr>
        <w:t>28.6%</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695</w:t>
      </w:r>
      <w:r w:rsidRPr="00CC51E2">
        <w:rPr>
          <w:rFonts w:ascii="Arial" w:hAnsi="Arial" w:cs="Arial"/>
          <w:sz w:val="20"/>
          <w:szCs w:val="20"/>
          <w:lang w:val="es-ES" w:eastAsia="es-ES"/>
        </w:rPr>
        <w:t xml:space="preserve"> familias manifestaron que, las obras realizadas influyeron en mejorar el estado de salud de los miembros del hogar y el </w:t>
      </w:r>
      <w:r w:rsidRPr="00CC51E2">
        <w:rPr>
          <w:rFonts w:ascii="Arial" w:hAnsi="Arial" w:cs="Arial"/>
          <w:b/>
          <w:sz w:val="20"/>
          <w:szCs w:val="20"/>
          <w:lang w:val="es-ES" w:eastAsia="es-ES"/>
        </w:rPr>
        <w:t>27.5%</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670</w:t>
      </w:r>
      <w:r w:rsidRPr="00CC51E2">
        <w:rPr>
          <w:rFonts w:ascii="Arial" w:hAnsi="Arial" w:cs="Arial"/>
          <w:sz w:val="20"/>
          <w:szCs w:val="20"/>
          <w:lang w:val="es-ES" w:eastAsia="es-ES"/>
        </w:rPr>
        <w:t xml:space="preserve"> familias, afirman haber mejorado la comodidad dentro de la vivienda.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¿Cómo interactúa usted y su familia con la casa después de realizada la obra de mejoramiento de vivienda?</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¿Cómo interactúa usted y su familia con la casa después de realizada la obra de mejoramiento de vivienda?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Permanecen más tiempo en la casa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575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27,1%</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Reciben más visitas de amigos y familiares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17,0%</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Cada integrante goza ahora de un espacio privado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296</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13,9%</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Las mascotas cuentan con un espacio adecuado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6,3%</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Comparten más en familia en áreas sociales de la casa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324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15,3%</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recuperaron áreas que antes no se utilizaban</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18,9%</w:t>
            </w:r>
          </w:p>
        </w:tc>
      </w:tr>
      <w:tr w:rsidR="00BF6199" w:rsidRPr="00CC51E2" w:rsidTr="00BF6199">
        <w:trPr>
          <w:trHeight w:val="170"/>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2122</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lastRenderedPageBreak/>
        <w:drawing>
          <wp:inline distT="0" distB="0" distL="0" distR="0" wp14:anchorId="4E6FEFAC" wp14:editId="374A75F2">
            <wp:extent cx="5124450" cy="1990725"/>
            <wp:effectExtent l="0" t="0" r="0" b="0"/>
            <wp:docPr id="22"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F6199" w:rsidRPr="00CC51E2" w:rsidRDefault="00BF6199" w:rsidP="00BF6199">
      <w:pPr>
        <w:jc w:val="both"/>
        <w:rPr>
          <w:rFonts w:ascii="Arial" w:hAnsi="Arial" w:cs="Arial"/>
          <w:sz w:val="20"/>
          <w:szCs w:val="20"/>
          <w:lang w:val="es-ES" w:eastAsia="es-ES"/>
        </w:rPr>
      </w:pP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eastAsia="es-ES"/>
        </w:rPr>
        <w:t xml:space="preserve">De los hogares encuestados, el </w:t>
      </w:r>
      <w:r w:rsidRPr="00CC51E2">
        <w:rPr>
          <w:rFonts w:ascii="Arial" w:hAnsi="Arial" w:cs="Arial"/>
          <w:b/>
          <w:sz w:val="20"/>
          <w:szCs w:val="20"/>
          <w:lang w:val="es-ES" w:eastAsia="es-ES"/>
        </w:rPr>
        <w:t>27.1%</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575</w:t>
      </w:r>
      <w:r w:rsidRPr="00CC51E2">
        <w:rPr>
          <w:rFonts w:ascii="Arial" w:hAnsi="Arial" w:cs="Arial"/>
          <w:sz w:val="20"/>
          <w:szCs w:val="20"/>
          <w:lang w:val="es-ES" w:eastAsia="es-ES"/>
        </w:rPr>
        <w:t xml:space="preserve"> familias manifestaron que, con las mejoras realizadas en su hogar permanecen más tiempo en ella y el </w:t>
      </w:r>
      <w:r w:rsidRPr="00CC51E2">
        <w:rPr>
          <w:rFonts w:ascii="Arial" w:hAnsi="Arial" w:cs="Arial"/>
          <w:b/>
          <w:sz w:val="20"/>
          <w:szCs w:val="20"/>
          <w:lang w:val="es-ES" w:eastAsia="es-ES"/>
        </w:rPr>
        <w:t>18.9%</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400</w:t>
      </w:r>
      <w:r w:rsidRPr="00CC51E2">
        <w:rPr>
          <w:rFonts w:ascii="Arial" w:hAnsi="Arial" w:cs="Arial"/>
          <w:sz w:val="20"/>
          <w:szCs w:val="20"/>
          <w:lang w:val="es-ES" w:eastAsia="es-ES"/>
        </w:rPr>
        <w:t xml:space="preserve"> familias, afirman haber recuperado áreas de la vivienda que no utilizaban.</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Calidad de las obras entregadas</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Calidad de las obras entregadas</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BUENA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1062</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90,2%</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REGULAR</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3,7%</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MALA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73</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6,2%</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1178</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3E9BA44C" wp14:editId="73FADA36">
            <wp:extent cx="3667125" cy="1276350"/>
            <wp:effectExtent l="0" t="0" r="0" b="0"/>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90.2%</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1062</w:t>
      </w:r>
      <w:r w:rsidRPr="00CC51E2">
        <w:rPr>
          <w:rFonts w:ascii="Arial" w:hAnsi="Arial" w:cs="Arial"/>
          <w:sz w:val="20"/>
          <w:szCs w:val="20"/>
          <w:lang w:val="es-ES" w:eastAsia="es-ES"/>
        </w:rPr>
        <w:t xml:space="preserve"> familias, manifiestan que las obras de mejoramiento entregadas por parte del oferente, son de buena calidad.</w:t>
      </w:r>
    </w:p>
    <w:p w:rsidR="00BD4DF1" w:rsidRDefault="00BD4DF1" w:rsidP="00BF6199">
      <w:pPr>
        <w:jc w:val="both"/>
        <w:rPr>
          <w:rFonts w:ascii="Arial" w:hAnsi="Arial" w:cs="Arial"/>
          <w:b/>
          <w:bCs/>
          <w:sz w:val="20"/>
          <w:szCs w:val="20"/>
          <w:lang w:eastAsia="es-CO"/>
        </w:rPr>
      </w:pP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lastRenderedPageBreak/>
        <w:t>Solución a la necesidad identificada</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Solución a la necesidad identificada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BUENA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1084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95,7%</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REGULAR</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MALA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3,0%</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1133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79924B51" wp14:editId="7C604C72">
            <wp:extent cx="4876800" cy="1314450"/>
            <wp:effectExtent l="0" t="0" r="0" b="0"/>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F6199" w:rsidRPr="00CC51E2" w:rsidRDefault="00BF6199" w:rsidP="00BF6199">
      <w:pPr>
        <w:jc w:val="both"/>
        <w:rPr>
          <w:rFonts w:ascii="Arial" w:hAnsi="Arial" w:cs="Arial"/>
          <w:bCs/>
          <w:sz w:val="20"/>
          <w:szCs w:val="20"/>
          <w:lang w:eastAsia="es-CO"/>
        </w:rPr>
      </w:pPr>
    </w:p>
    <w:p w:rsidR="00BF6199" w:rsidRPr="00CC51E2" w:rsidRDefault="00BF6199" w:rsidP="00BF6199">
      <w:pPr>
        <w:jc w:val="both"/>
        <w:rPr>
          <w:rFonts w:ascii="Arial" w:hAnsi="Arial" w:cs="Arial"/>
          <w:bCs/>
          <w:sz w:val="20"/>
          <w:szCs w:val="20"/>
          <w:lang w:eastAsia="es-CO"/>
        </w:rPr>
      </w:pPr>
    </w:p>
    <w:p w:rsidR="00BF6199" w:rsidRPr="00CC51E2" w:rsidRDefault="00BF6199" w:rsidP="00BF6199">
      <w:pPr>
        <w:autoSpaceDE w:val="0"/>
        <w:autoSpaceDN w:val="0"/>
        <w:adjustRightInd w:val="0"/>
        <w:jc w:val="both"/>
        <w:rPr>
          <w:rFonts w:ascii="Arial" w:hAnsi="Arial" w:cs="Arial"/>
          <w:sz w:val="20"/>
          <w:szCs w:val="20"/>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95.7%</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1084</w:t>
      </w:r>
      <w:r w:rsidRPr="00CC51E2">
        <w:rPr>
          <w:rFonts w:ascii="Arial" w:hAnsi="Arial" w:cs="Arial"/>
          <w:sz w:val="20"/>
          <w:szCs w:val="20"/>
          <w:lang w:val="es-ES" w:eastAsia="es-ES"/>
        </w:rPr>
        <w:t xml:space="preserve"> familias, afirmaron que la solución a la necesidad identificada dentro de la vivienda fue buena.</w:t>
      </w:r>
    </w:p>
    <w:p w:rsidR="00311CEC" w:rsidRPr="00CC51E2" w:rsidRDefault="00311CEC" w:rsidP="00311CEC">
      <w:pPr>
        <w:jc w:val="both"/>
        <w:rPr>
          <w:rFonts w:ascii="Arial" w:hAnsi="Arial" w:cs="Arial"/>
          <w:bCs/>
          <w:sz w:val="20"/>
          <w:szCs w:val="20"/>
          <w:lang w:eastAsia="es-CO"/>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bCs/>
          <w:sz w:val="20"/>
          <w:szCs w:val="20"/>
          <w:lang w:eastAsia="es-CO"/>
        </w:rPr>
      </w:pPr>
    </w:p>
    <w:p w:rsidR="00311CEC" w:rsidRPr="00CC51E2" w:rsidRDefault="00311CEC">
      <w:pPr>
        <w:spacing w:after="0" w:line="240" w:lineRule="auto"/>
        <w:rPr>
          <w:rFonts w:ascii="Arial" w:hAnsi="Arial" w:cs="Arial"/>
          <w:b/>
          <w:sz w:val="20"/>
          <w:szCs w:val="20"/>
        </w:rPr>
      </w:pPr>
    </w:p>
    <w:p w:rsidR="002B0B09" w:rsidRPr="00CC51E2" w:rsidRDefault="002B0B09" w:rsidP="002B0B09">
      <w:pPr>
        <w:jc w:val="center"/>
        <w:rPr>
          <w:rFonts w:ascii="Arial" w:eastAsiaTheme="minorEastAsia" w:hAnsi="Arial" w:cs="Arial"/>
          <w:sz w:val="20"/>
          <w:szCs w:val="20"/>
          <w:lang w:eastAsia="es-ES"/>
        </w:rPr>
      </w:pPr>
    </w:p>
    <w:p w:rsidR="002B0B09" w:rsidRPr="00CC51E2" w:rsidRDefault="002B0B09">
      <w:pPr>
        <w:spacing w:after="0" w:line="240" w:lineRule="auto"/>
        <w:rPr>
          <w:rFonts w:ascii="Arial" w:hAnsi="Arial" w:cs="Arial"/>
          <w:b/>
          <w:sz w:val="20"/>
          <w:szCs w:val="20"/>
        </w:rPr>
      </w:pPr>
      <w:r w:rsidRPr="00CC51E2">
        <w:rPr>
          <w:rFonts w:ascii="Arial" w:hAnsi="Arial" w:cs="Arial"/>
          <w:b/>
          <w:sz w:val="20"/>
          <w:szCs w:val="20"/>
        </w:rPr>
        <w:br w:type="page"/>
      </w:r>
    </w:p>
    <w:p w:rsidR="00612AE6" w:rsidRPr="00CC51E2" w:rsidRDefault="00612AE6" w:rsidP="002B0B09">
      <w:pPr>
        <w:spacing w:line="240" w:lineRule="auto"/>
        <w:jc w:val="center"/>
        <w:rPr>
          <w:rFonts w:ascii="Arial" w:hAnsi="Arial" w:cs="Arial"/>
          <w:b/>
          <w:sz w:val="20"/>
          <w:szCs w:val="20"/>
        </w:rPr>
      </w:pP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2B0B09" w:rsidRPr="00CC51E2" w:rsidRDefault="002B0B09" w:rsidP="002B0B09">
      <w:pPr>
        <w:jc w:val="center"/>
        <w:rPr>
          <w:rFonts w:ascii="Arial" w:eastAsiaTheme="minorEastAsia" w:hAnsi="Arial" w:cs="Arial"/>
          <w:sz w:val="20"/>
          <w:szCs w:val="20"/>
          <w:lang w:eastAsia="es-ES"/>
        </w:rPr>
      </w:pPr>
      <w:r w:rsidRPr="00CC51E2">
        <w:rPr>
          <w:rFonts w:ascii="Arial" w:hAnsi="Arial" w:cs="Arial"/>
          <w:b/>
          <w:sz w:val="20"/>
          <w:szCs w:val="20"/>
        </w:rPr>
        <w:t>DIRECCIÓN DE MEJORAMIENTO DE BARRIOS</w:t>
      </w:r>
    </w:p>
    <w:p w:rsidR="002B0B09" w:rsidRPr="00CC51E2" w:rsidRDefault="002B0B09" w:rsidP="002B0B09">
      <w:pPr>
        <w:spacing w:after="0"/>
        <w:jc w:val="center"/>
        <w:rPr>
          <w:rFonts w:ascii="Arial" w:hAnsi="Arial" w:cs="Arial"/>
          <w:b/>
          <w:sz w:val="20"/>
          <w:szCs w:val="20"/>
        </w:rPr>
      </w:pPr>
    </w:p>
    <w:p w:rsidR="002B0B09" w:rsidRPr="00CC51E2" w:rsidRDefault="002B0B09" w:rsidP="002B0B09">
      <w:pPr>
        <w:spacing w:after="0"/>
        <w:jc w:val="both"/>
        <w:rPr>
          <w:rFonts w:ascii="Arial" w:hAnsi="Arial" w:cs="Arial"/>
          <w:b/>
          <w:sz w:val="20"/>
          <w:szCs w:val="20"/>
        </w:rPr>
      </w:pPr>
    </w:p>
    <w:p w:rsidR="002B0B09" w:rsidRPr="00CC51E2" w:rsidRDefault="002B0B09" w:rsidP="002B0B09">
      <w:pPr>
        <w:rPr>
          <w:rFonts w:ascii="Arial" w:eastAsiaTheme="minorEastAsia" w:hAnsi="Arial" w:cs="Arial"/>
          <w:sz w:val="20"/>
          <w:szCs w:val="20"/>
          <w:lang w:eastAsia="es-ES"/>
        </w:rPr>
      </w:pPr>
      <w:r w:rsidRPr="00CC51E2">
        <w:rPr>
          <w:rFonts w:ascii="Arial" w:hAnsi="Arial" w:cs="Arial"/>
          <w:b/>
          <w:sz w:val="20"/>
          <w:szCs w:val="20"/>
        </w:rPr>
        <w:t>PROYECTO DE INVERSIÓN 208 – MEJORAMIENTO DE BARRIOS</w:t>
      </w:r>
    </w:p>
    <w:p w:rsidR="002B0B09" w:rsidRPr="00CC51E2" w:rsidRDefault="002B0B09" w:rsidP="002B0B09">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Eje: 02 – Democracia Urbana</w:t>
      </w: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Programa: 14 – Intervenciones integrales del Hábitat</w:t>
      </w: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Proyecto Estratégico: Intervenciones integrales del Hábitat</w:t>
      </w:r>
    </w:p>
    <w:p w:rsidR="002B0B09" w:rsidRPr="00CC51E2" w:rsidRDefault="002B0B09" w:rsidP="002B0B09">
      <w:pPr>
        <w:spacing w:after="0"/>
        <w:jc w:val="center"/>
        <w:rPr>
          <w:rFonts w:ascii="Arial" w:hAnsi="Arial" w:cs="Arial"/>
          <w:b/>
          <w:sz w:val="20"/>
          <w:szCs w:val="20"/>
        </w:rPr>
      </w:pPr>
    </w:p>
    <w:p w:rsidR="002B0B09" w:rsidRPr="00CC51E2" w:rsidRDefault="002B0B09" w:rsidP="002B0B09">
      <w:pPr>
        <w:spacing w:after="0"/>
        <w:jc w:val="center"/>
        <w:rPr>
          <w:rFonts w:ascii="Arial" w:hAnsi="Arial" w:cs="Arial"/>
          <w:b/>
          <w:sz w:val="20"/>
          <w:szCs w:val="20"/>
        </w:rPr>
      </w:pPr>
    </w:p>
    <w:p w:rsidR="002B0B09" w:rsidRPr="00CC51E2" w:rsidRDefault="002B0B09" w:rsidP="0057468E">
      <w:pPr>
        <w:numPr>
          <w:ilvl w:val="0"/>
          <w:numId w:val="17"/>
        </w:numPr>
        <w:spacing w:before="240" w:after="160"/>
        <w:contextualSpacing/>
        <w:jc w:val="both"/>
        <w:rPr>
          <w:rFonts w:ascii="Arial" w:hAnsi="Arial" w:cs="Arial"/>
          <w:b/>
          <w:sz w:val="20"/>
          <w:szCs w:val="20"/>
        </w:rPr>
      </w:pPr>
      <w:r w:rsidRPr="00CC51E2">
        <w:rPr>
          <w:rFonts w:ascii="Arial" w:hAnsi="Arial" w:cs="Arial"/>
          <w:b/>
          <w:sz w:val="20"/>
          <w:szCs w:val="20"/>
        </w:rPr>
        <w:t>Introducción</w:t>
      </w:r>
    </w:p>
    <w:p w:rsidR="002B0B09" w:rsidRPr="00CC51E2" w:rsidRDefault="002B0B09" w:rsidP="002B0B09">
      <w:pPr>
        <w:spacing w:before="240"/>
        <w:jc w:val="both"/>
        <w:rPr>
          <w:rFonts w:ascii="Arial" w:hAnsi="Arial" w:cs="Arial"/>
          <w:sz w:val="20"/>
          <w:szCs w:val="20"/>
        </w:rPr>
      </w:pPr>
      <w:r w:rsidRPr="00CC51E2">
        <w:rPr>
          <w:rFonts w:ascii="Arial" w:hAnsi="Arial" w:cs="Arial"/>
          <w:sz w:val="20"/>
          <w:szCs w:val="20"/>
        </w:rPr>
        <w:t>La Dirección de Mejoramiento de Barrios, ha desarrollado un proceso continuo de rendición de cuentas con la comunidad y con las entidades del sector, socializando desde el inicio, las intervenciones en espacio público a escala a barrial que se encuentran programadas y en ejecución, definiendo los requisitos legales y normativos que conceptúan las partes interesadas como la Secretaría Distrital de Planeación, el Instituto  Distrital de Participación y Acción Comunal (IDPAC) , el Instituto Distrital de Gestión del Riesgo y Cambio Climático (IDIGER), el Departamento Administrativo de la Defensoría del Espacio Público (DADEP), entre otras entidades. Con mayor relevancia en la gestión en la sensibilización a los beneficiarios directos e indirectos, para lograr la aceptación de la tipologías y perfiles viales definidos por el Distrito.</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En el Plan de Acción de Gestión Social, se incluyen actividades como talleres participativos, comités de veedurías y reuniones de socialización, que permiten informar los beneficios en común a los grupos de interés, los avances y logros en la elaboración de estudios y diseños, y la construcción de obras, hasta las entregas misionales a la comunidad y la firma de un acuerdo de sostenibilidad que fortalece el compromiso del buen uso de los bienes comunes.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Con la gestión administrativa y operativa de los recursos del Proyecto de Inversión 208 Mejoramiento de Barrios, y durante la ejecución del Plan de desarrollo Distrital “Bogotá Mejor para Todos”, se ha logrado entregar a la comunidad: 41 obras a satisfacción y 13 salones comunales reparados durante la vigencia 2016, 21 obras entregadas a la comunidad en la vigencia de 2017. Y lograr beneficiar a 35.618 Habitantes.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lastRenderedPageBreak/>
        <w:t xml:space="preserve">La información de los resultados de la Dirección de Mejoramiento de Barrios, se encuentra disponible en la página web de la entidad </w:t>
      </w:r>
      <w:hyperlink r:id="rId27" w:history="1">
        <w:r w:rsidRPr="00CC51E2">
          <w:rPr>
            <w:rFonts w:ascii="Arial" w:hAnsi="Arial" w:cs="Arial"/>
            <w:color w:val="0000FF" w:themeColor="hyperlink"/>
            <w:sz w:val="20"/>
            <w:szCs w:val="20"/>
            <w:u w:val="single"/>
          </w:rPr>
          <w:t>www.cajaviviendapopular.gov.co</w:t>
        </w:r>
      </w:hyperlink>
      <w:r w:rsidRPr="00CC51E2">
        <w:rPr>
          <w:rFonts w:ascii="Arial" w:hAnsi="Arial" w:cs="Arial"/>
          <w:sz w:val="20"/>
          <w:szCs w:val="20"/>
        </w:rPr>
        <w:t>. En el link de Transparencia se ubica la información de interés y la publicación de datos abiertos, con reportes de manera periódica que relacionan el estado actual de las intervenciones en ejecución, y los listados de cada una de las entregas misionales a la comunidad, así como la ubicación geográfica.  Con el fin de cumplir con el artículo 4º de la resolución 3564 de 2015 “</w:t>
      </w:r>
      <w:r w:rsidRPr="00CC51E2">
        <w:rPr>
          <w:rFonts w:ascii="Arial" w:hAnsi="Arial" w:cs="Arial"/>
          <w:i/>
          <w:sz w:val="20"/>
          <w:szCs w:val="20"/>
        </w:rPr>
        <w:t>Por la cual se reglamentan aspectos relacionados con la Ley de Transparencia y Acceso a la Información Pública”</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Como resultado de la rendición de cuentas constante realizada por la Dirección de Mejoramiento de Barrios a los grupos de interés y partes interesadas del sector del hábitat, se identifica la percepción de una entidad más transparente, y con un mayor nivel de credibilidad y confianza ciudadana. </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Se logró aumentar la participación de los ciudadanos interesados por la ejecución de obras y las reparaciones locativas en salones comunales, generando un gran impacto en la población de estratos 1 y 2, que habita en barrios legalizados de origen informal, que presentan necesidades de mejoramiento, desarrollo y renovación de la calidad de vida urbana.</w:t>
      </w:r>
    </w:p>
    <w:p w:rsidR="002B0B09" w:rsidRPr="00CC51E2" w:rsidRDefault="002B0B09" w:rsidP="002B0B09">
      <w:pPr>
        <w:rPr>
          <w:rFonts w:ascii="Arial" w:eastAsia="Times New Roman" w:hAnsi="Arial" w:cs="Arial"/>
          <w:sz w:val="20"/>
          <w:szCs w:val="20"/>
          <w:lang w:eastAsia="es-CO"/>
        </w:rPr>
      </w:pPr>
      <w:r w:rsidRPr="00CC51E2">
        <w:rPr>
          <w:rFonts w:ascii="Arial" w:eastAsia="Times New Roman" w:hAnsi="Arial" w:cs="Arial"/>
          <w:sz w:val="20"/>
          <w:szCs w:val="20"/>
          <w:lang w:eastAsia="es-CO"/>
        </w:rPr>
        <w:br w:type="page"/>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Resumen ejecutivo</w: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hAnsi="Arial" w:cs="Arial"/>
          <w:sz w:val="20"/>
          <w:szCs w:val="20"/>
        </w:rPr>
        <w:t>Gracias a la Bogotá Mejor Para Todos y a la estrategia definida como “Desmarginalización” del Alcalde Peñalosa, 14.269 beneficiarios de las localidades de Bosa, Ciudad Bolívar, Kennedy, Rafael Uribe Uribe, San Cristóbal, Usaquén, Suba y Usme cuentan hoy con 62  vías y escaleras nuevas; cuya ejecución aproximada fue de 9.098 millones de pesos contribuyendo así al desarrollo y mejoramiento de la infraestructura física y social de estas comunidades en Bogotá.</w: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hAnsi="Arial" w:cs="Arial"/>
          <w:sz w:val="20"/>
          <w:szCs w:val="20"/>
        </w:rPr>
        <w:t>La estrategia desarrollada en el sector del hábitat según lineamientos de la administración actual, apunta a invertir en espacios en donde se desarrollen apuestas educativas, productivas y culturales para las comunidades de Usaquén, Santafé, Bosa, Kennedy, San Cristóbal, Ciudad Bolívar y Usme; es así como se han entregado 13 salones comunales completamente remodelados en su estructura interior y exterior para el beneficio permanente de 21.300 personas y cuya ejecución aproximada fue de 1.281 millones de pesos.</w:t>
      </w:r>
    </w:p>
    <w:p w:rsidR="002B0B09" w:rsidRPr="00CC51E2" w:rsidRDefault="002B0B09" w:rsidP="002B0B09">
      <w:pPr>
        <w:spacing w:after="100" w:afterAutospacing="1"/>
        <w:jc w:val="both"/>
        <w:rPr>
          <w:rFonts w:ascii="Arial" w:hAnsi="Arial" w:cs="Arial"/>
          <w:sz w:val="20"/>
          <w:szCs w:val="20"/>
        </w:rPr>
      </w:pPr>
      <w:r w:rsidRPr="00CC51E2">
        <w:rPr>
          <w:rFonts w:ascii="Arial" w:hAnsi="Arial" w:cs="Arial"/>
          <w:sz w:val="20"/>
          <w:szCs w:val="20"/>
        </w:rPr>
        <w:t>La Administración Distrital continúa con la inversión en los territorios priorizados, adjudicando, iniciando y ejecutando obras de mejoramiento de barrios por valor de 16.655 millones de pesos las cuales beneficiarán aproximadamente a 24.669 habitantes del Distrito Capital, programando 55 obras en espacio público a escala barrial y 20 reparaciones locativas de salones comunales.</w:t>
      </w:r>
    </w:p>
    <w:p w:rsidR="00612AE6" w:rsidRPr="00CC51E2" w:rsidRDefault="002B0B09" w:rsidP="00612AE6">
      <w:pPr>
        <w:spacing w:after="100" w:afterAutospacing="1"/>
        <w:jc w:val="both"/>
        <w:rPr>
          <w:rFonts w:ascii="Arial" w:hAnsi="Arial" w:cs="Arial"/>
          <w:sz w:val="20"/>
          <w:szCs w:val="20"/>
        </w:rPr>
      </w:pPr>
      <w:r w:rsidRPr="00CC51E2">
        <w:rPr>
          <w:rFonts w:ascii="Arial" w:hAnsi="Arial" w:cs="Arial"/>
          <w:sz w:val="20"/>
          <w:szCs w:val="20"/>
        </w:rPr>
        <w:t>De la participación activa en las instancias de coordinación programadas por la Secretaría Distrital del Hábitat (SDHT), se logró priorizar la construcción de 28 segmentos viales en las localidades de San Cristóbal, Usaquén, Rafael Uribe Uribe, Ciudad Bolívar y Usme. En el Banco de Proyectos de la Dirección de Mejoramiento de Barrios se encuentran disponibles los estudios y diseños viables, para iniciar las obras con los recursos del tipo de gasto de infraestructura de la vigencia 2017.</w:t>
      </w:r>
    </w:p>
    <w:p w:rsidR="002B0B09" w:rsidRPr="00CC51E2" w:rsidRDefault="002B0B09" w:rsidP="00612AE6">
      <w:pPr>
        <w:spacing w:after="100" w:afterAutospacing="1"/>
        <w:jc w:val="both"/>
        <w:rPr>
          <w:rFonts w:ascii="Arial" w:hAnsi="Arial" w:cs="Arial"/>
          <w:sz w:val="20"/>
          <w:szCs w:val="20"/>
        </w:rPr>
      </w:pPr>
      <w:r w:rsidRPr="00CC51E2">
        <w:rPr>
          <w:rFonts w:ascii="Arial" w:hAnsi="Arial" w:cs="Arial"/>
          <w:sz w:val="20"/>
          <w:szCs w:val="20"/>
        </w:rPr>
        <w:t>Después de las investigaciones normativas pertinentes con las partes interesadas del sector, el equipo de trabajo de la Dirección de Mejoramiento de Barrios realizó los estudios de previabilidad a 78 oportunidades de intervenciones en salones comunales a reparar, logrando conjuntamente con el Instituto Distrital de la Participación y Acción Comunal (IDPAC) y la Secretaría Distrital del Hábitat (SDHT), la priorización de 20 reparaciones locativas en salones comunales en las localidades de Usaquén, Santafé, Bosa, Kennedy, San Cristóbal, Ciudad Bolívar y Usme.</w:t>
      </w:r>
    </w:p>
    <w:p w:rsidR="002B0B09" w:rsidRPr="00CC51E2" w:rsidRDefault="002B0B09" w:rsidP="002B0B09">
      <w:pPr>
        <w:spacing w:after="100" w:afterAutospacing="1"/>
        <w:jc w:val="both"/>
        <w:rPr>
          <w:rFonts w:ascii="Arial" w:hAnsi="Arial" w:cs="Arial"/>
          <w:sz w:val="20"/>
          <w:szCs w:val="20"/>
        </w:rPr>
      </w:pPr>
      <w:r w:rsidRPr="00CC51E2">
        <w:rPr>
          <w:rFonts w:ascii="Arial" w:hAnsi="Arial" w:cs="Arial"/>
          <w:sz w:val="20"/>
          <w:szCs w:val="20"/>
        </w:rPr>
        <w:t>Se obtuvo la proyección de los recursos para la elaboración de 52 estudios y diseños, en los Territorios con Oportunidad (TCO)  Surorientales, específicamente en el  Área de Intervención Integral (AII), en el barrio Villa Rosita, y en el Área de Intervención Temprana (AIT) en el barrio San Pedro; de los cuales se proyecta  la publicación de las licitaciones públicas en el mes de noviembre de 2017. Los estudios  de previabilidad a las intervenciones identificadas, se realizaron durante el segundo y tercer trimestre de la vigencia.</w:t>
      </w:r>
    </w:p>
    <w:p w:rsidR="002B0B09" w:rsidRPr="00CC51E2" w:rsidRDefault="002B0B09" w:rsidP="002B0B09">
      <w:pPr>
        <w:rPr>
          <w:rFonts w:ascii="Arial" w:hAnsi="Arial" w:cs="Arial"/>
          <w:sz w:val="20"/>
          <w:szCs w:val="20"/>
        </w:rPr>
      </w:pPr>
      <w:r w:rsidRPr="00CC51E2">
        <w:rPr>
          <w:rFonts w:ascii="Arial" w:hAnsi="Arial" w:cs="Arial"/>
          <w:sz w:val="20"/>
          <w:szCs w:val="20"/>
        </w:rPr>
        <w:br w:type="page"/>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Contexto</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La Dirección de Mejoramiento de Barrios presenta los logros y resultados en la gestión y el direccionamiento de los recursos financieros, de infraestructura, recurso humano y de dotación, asignados al Proyecto de Inversión 208 Mejoramiento de Barrios para lograr contribuir los Programas “Intervenciones Integrales en el Hábitat” del Plan de Desarrollo Distrital “Bogotá Mejor para Todos” y al “Programa de Mejoramiento Integral de Barrios”. </w:t>
      </w: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Objetivo del Proceso de Mejoramiento de Barrios</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Ejecutar las intervenciones priorizadas por la Secretaria Distrital del Hábitat, en los territorios priorizados y con los recursos asignados, a través de los "procesos de elaboración de Estudios y Diseños, y construcción de obras de infraestructura en espacio público a escala barrial”, y mediante la gestión administrativa y operativa de los recursos del "Proyecto de Inversión 208 Mejoramiento de Barrios", lograr contribuir al “Programa de Mejoramiento Integral de Barrios.</w:t>
      </w: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Objetivos estratégicos de Calidad.</w:t>
      </w:r>
    </w:p>
    <w:p w:rsidR="002B0B09" w:rsidRPr="00CC51E2"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Ejecutar las políticas de la secretaria del Hábitat a través de los programas de Titulación de Predios, Mejoramiento de Viviendas, Mejoramiento de Barrios y Reasentamientos humanos conforme el Plan Distrital de Desarrollo vigente.</w:t>
      </w:r>
    </w:p>
    <w:p w:rsidR="002B0B09" w:rsidRPr="00CC51E2"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Promover la cultura de transparencia y probidad a través de una comunicación integral con las partes interesadas para construir relaciones de confianza.</w:t>
      </w:r>
    </w:p>
    <w:p w:rsidR="002B0B09" w:rsidRPr="00CC51E2"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Prestar un servicio adecuado a los ciudadanos satisfaciendo sus necesidades conforme a la misionalidad de la entidad.</w:t>
      </w:r>
    </w:p>
    <w:p w:rsidR="002B0B09" w:rsidRPr="00CC51E2" w:rsidRDefault="002B0B09" w:rsidP="002B0B09">
      <w:pPr>
        <w:rPr>
          <w:rFonts w:ascii="Arial" w:eastAsia="Times New Roman" w:hAnsi="Arial" w:cs="Arial"/>
          <w:b/>
          <w:sz w:val="20"/>
          <w:szCs w:val="20"/>
          <w:lang w:eastAsia="es-CO"/>
        </w:rPr>
      </w:pPr>
      <w:r w:rsidRPr="00CC51E2">
        <w:rPr>
          <w:rFonts w:ascii="Arial" w:eastAsia="Times New Roman" w:hAnsi="Arial" w:cs="Arial"/>
          <w:b/>
          <w:sz w:val="20"/>
          <w:szCs w:val="20"/>
          <w:lang w:eastAsia="es-CO"/>
        </w:rPr>
        <w:br w:type="page"/>
      </w:r>
    </w:p>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pPr>
    </w:p>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7872" behindDoc="0" locked="0" layoutInCell="1" allowOverlap="1" wp14:anchorId="4AB2A032" wp14:editId="41B868DE">
                <wp:simplePos x="0" y="0"/>
                <wp:positionH relativeFrom="margin">
                  <wp:posOffset>287129</wp:posOffset>
                </wp:positionH>
                <wp:positionV relativeFrom="paragraph">
                  <wp:posOffset>12700</wp:posOffset>
                </wp:positionV>
                <wp:extent cx="7721986" cy="369332"/>
                <wp:effectExtent l="0" t="0" r="0" b="0"/>
                <wp:wrapNone/>
                <wp:docPr id="39" name="CuadroTexto 1"/>
                <wp:cNvGraphicFramePr/>
                <a:graphic xmlns:a="http://schemas.openxmlformats.org/drawingml/2006/main">
                  <a:graphicData uri="http://schemas.microsoft.com/office/word/2010/wordprocessingShape">
                    <wps:wsp>
                      <wps:cNvSpPr txBox="1"/>
                      <wps:spPr>
                        <a:xfrm>
                          <a:off x="0" y="0"/>
                          <a:ext cx="7721986" cy="369332"/>
                        </a:xfrm>
                        <a:prstGeom prst="rect">
                          <a:avLst/>
                        </a:prstGeom>
                        <a:solidFill>
                          <a:schemeClr val="accent4">
                            <a:lumMod val="75000"/>
                          </a:schemeClr>
                        </a:solidFill>
                      </wps:spPr>
                      <wps:txbx>
                        <w:txbxContent>
                          <w:p w:rsidR="006E635E" w:rsidRPr="006E282C" w:rsidRDefault="006E635E" w:rsidP="002B0B09">
                            <w:pPr>
                              <w:pStyle w:val="NormalWeb"/>
                              <w:spacing w:before="0" w:after="0"/>
                              <w:rPr>
                                <w:rFonts w:ascii="Tahoma" w:hAnsi="Tahoma" w:cs="Tahoma"/>
                                <w:sz w:val="28"/>
                                <w:szCs w:val="28"/>
                              </w:rPr>
                            </w:pPr>
                            <w:r w:rsidRPr="006E282C">
                              <w:rPr>
                                <w:rFonts w:ascii="Tahoma" w:eastAsia="Tahoma" w:hAnsi="Tahoma" w:cs="Tahoma"/>
                                <w:color w:val="002060"/>
                                <w:kern w:val="24"/>
                                <w:sz w:val="28"/>
                                <w:szCs w:val="28"/>
                              </w:rPr>
                              <w:t>TEMAS DEL PLAN DE GOBIERNO  “BOGOTÁ MEJOR PARA TODOS”</w:t>
                            </w:r>
                          </w:p>
                        </w:txbxContent>
                      </wps:txbx>
                      <wps:bodyPr wrap="none" rtlCol="0">
                        <a:spAutoFit/>
                      </wps:bodyPr>
                    </wps:wsp>
                  </a:graphicData>
                </a:graphic>
              </wp:anchor>
            </w:drawing>
          </mc:Choice>
          <mc:Fallback>
            <w:pict>
              <v:shapetype w14:anchorId="4AB2A032" id="_x0000_t202" coordsize="21600,21600" o:spt="202" path="m,l,21600r21600,l21600,xe">
                <v:stroke joinstyle="miter"/>
                <v:path gradientshapeok="t" o:connecttype="rect"/>
              </v:shapetype>
              <v:shape id="CuadroTexto 1" o:spid="_x0000_s1026" type="#_x0000_t202" style="position:absolute;left:0;text-align:left;margin-left:22.6pt;margin-top:1pt;width:608.05pt;height:29.1pt;z-index:2517278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7a0wgEAAGADAAAOAAAAZHJzL2Uyb0RvYy54bWysU01v2zAMvQ/YfxB0X+wkW9IYcYotRXrZ&#10;1gLtfoCij1iAJAqSEjv/vpScpkV3G3aRRYp85Huk17eDNeQkQ9TgWjqd1JRIx0Fod2jpn+fdlxtK&#10;YmJOMANOtvQsI73dfP607n0jZ9CBETIQBHGx6X1Lu5R8U1WRd9KyOAEvHT4qCJYlNMOhEoH1iG5N&#10;NavrRdVDED4AlzGi9258pJuCr5Tk6UGpKBMxLcXeUjlDOff5rDZr1hwC853mlzbYP3RhmXZY9Ap1&#10;xxIjx6D/grKaB4ig0oSDrUApzWXhgGym9Qc2Tx3zsnBBcaK/yhT/Hyz/fXoMRIuWzleUOGZxRtsj&#10;EwGe5ZCATLNCvY8NBj55DE3DDxhw0q/+iM5MfFDB5i9SIviOWp+v+iIS4ehcLmfT1c2CEo5v88Vq&#10;Pp9lmOot24eY7iVYki8tDTi/Iis7/YxpDH0NycUiGC122phi5J2RWxPIieG0GefSpa8l3RztLxCj&#10;f/mtrsvcsWxZs5xSmniHVmXKI7V8S8N+uOiwB3FGGXpcmZY63GlKQjJbKPtV2vDfjwl2urSbk8cM&#10;rJANHGOpdVm5vCfv7RL19mNsXgAAAP//AwBQSwMEFAAGAAgAAAAhAKk+p+PdAAAACAEAAA8AAABk&#10;cnMvZG93bnJldi54bWxMj1FLwzAUhd8F/0O4gm8uXdQyuqZDxIIwEJzK9njbXJtik5QkW7t/b/ak&#10;j5dz+O53ys1sBnYiH3pnJSwXGTCyrVO97SR8ftR3K2AholU4OEsSzhRgU11flVgoN9l3Ou1ixxLE&#10;hgIl6BjHgvPQajIYFm4km7Jv5w3GdPqOK49TgpuBiyzLucHepg8aR3rW1P7sjkaCqP2+1s1Zqf3L&#10;69th9bWlCbdS3t7MT2tgkeb4V4aLflKHKjk17mhVYIOEh0eRmomVFl1ikS/vgTUS8kwAr0r+f0D1&#10;CwAA//8DAFBLAQItABQABgAIAAAAIQC2gziS/gAAAOEBAAATAAAAAAAAAAAAAAAAAAAAAABbQ29u&#10;dGVudF9UeXBlc10ueG1sUEsBAi0AFAAGAAgAAAAhADj9If/WAAAAlAEAAAsAAAAAAAAAAAAAAAAA&#10;LwEAAF9yZWxzLy5yZWxzUEsBAi0AFAAGAAgAAAAhAJvftrTCAQAAYAMAAA4AAAAAAAAAAAAAAAAA&#10;LgIAAGRycy9lMm9Eb2MueG1sUEsBAi0AFAAGAAgAAAAhAKk+p+PdAAAACAEAAA8AAAAAAAAAAAAA&#10;AAAAHAQAAGRycy9kb3ducmV2LnhtbFBLBQYAAAAABAAEAPMAAAAmBQAAAAA=&#10;" fillcolor="#5f497a [2407]" stroked="f">
                <v:textbox style="mso-fit-shape-to-text:t">
                  <w:txbxContent>
                    <w:p w:rsidR="006E635E" w:rsidRPr="006E282C" w:rsidRDefault="006E635E" w:rsidP="002B0B09">
                      <w:pPr>
                        <w:pStyle w:val="NormalWeb"/>
                        <w:spacing w:before="0" w:after="0"/>
                        <w:rPr>
                          <w:rFonts w:ascii="Tahoma" w:hAnsi="Tahoma" w:cs="Tahoma"/>
                          <w:sz w:val="28"/>
                          <w:szCs w:val="28"/>
                        </w:rPr>
                      </w:pPr>
                      <w:r w:rsidRPr="006E282C">
                        <w:rPr>
                          <w:rFonts w:ascii="Tahoma" w:eastAsia="Tahoma" w:hAnsi="Tahoma" w:cs="Tahoma"/>
                          <w:color w:val="002060"/>
                          <w:kern w:val="24"/>
                          <w:sz w:val="28"/>
                          <w:szCs w:val="28"/>
                        </w:rPr>
                        <w:t>TEMAS DEL PLAN DE GOBIERNO  “BOGOTÁ MEJOR PARA TODOS”</w:t>
                      </w:r>
                    </w:p>
                  </w:txbxContent>
                </v:textbox>
                <w10:wrap anchorx="margin"/>
              </v:shape>
            </w:pict>
          </mc:Fallback>
        </mc:AlternateConten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30944" behindDoc="0" locked="0" layoutInCell="1" allowOverlap="1" wp14:anchorId="5A9BEA28" wp14:editId="2A72F4BF">
                <wp:simplePos x="0" y="0"/>
                <wp:positionH relativeFrom="column">
                  <wp:posOffset>3159125</wp:posOffset>
                </wp:positionH>
                <wp:positionV relativeFrom="paragraph">
                  <wp:posOffset>709740</wp:posOffset>
                </wp:positionV>
                <wp:extent cx="2528256" cy="307777"/>
                <wp:effectExtent l="0" t="0" r="0" b="0"/>
                <wp:wrapNone/>
                <wp:docPr id="461" name="Rectángulo 7"/>
                <wp:cNvGraphicFramePr/>
                <a:graphic xmlns:a="http://schemas.openxmlformats.org/drawingml/2006/main">
                  <a:graphicData uri="http://schemas.microsoft.com/office/word/2010/wordprocessingShape">
                    <wps:wsp>
                      <wps:cNvSpPr/>
                      <wps:spPr>
                        <a:xfrm>
                          <a:off x="0" y="0"/>
                          <a:ext cx="2528256" cy="307777"/>
                        </a:xfrm>
                        <a:prstGeom prst="rect">
                          <a:avLst/>
                        </a:prstGeom>
                        <a:solidFill>
                          <a:schemeClr val="bg1"/>
                        </a:solidFill>
                      </wps:spPr>
                      <wps:txbx>
                        <w:txbxContent>
                          <w:p w:rsidR="006E635E" w:rsidRDefault="006E635E" w:rsidP="002B0B09">
                            <w:pPr>
                              <w:pStyle w:val="NormalWeb"/>
                              <w:spacing w:before="0" w:after="0"/>
                            </w:pPr>
                            <w:r>
                              <w:rPr>
                                <w:rFonts w:ascii="Tahoma" w:eastAsia="Tahoma" w:hAnsi="Tahoma" w:cs="Tahoma"/>
                                <w:b/>
                                <w:bCs/>
                                <w:color w:val="002060"/>
                                <w:kern w:val="24"/>
                                <w:sz w:val="28"/>
                                <w:szCs w:val="28"/>
                              </w:rPr>
                              <w:t>ESTRATEGIA DE ALCANCE</w:t>
                            </w:r>
                          </w:p>
                        </w:txbxContent>
                      </wps:txbx>
                      <wps:bodyPr wrap="none">
                        <a:spAutoFit/>
                      </wps:bodyPr>
                    </wps:wsp>
                  </a:graphicData>
                </a:graphic>
              </wp:anchor>
            </w:drawing>
          </mc:Choice>
          <mc:Fallback>
            <w:pict>
              <v:rect w14:anchorId="5A9BEA28" id="Rectángulo 7" o:spid="_x0000_s1027" style="position:absolute;left:0;text-align:left;margin-left:248.75pt;margin-top:55.9pt;width:199.1pt;height:24.2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PbpQEAACsDAAAOAAAAZHJzL2Uyb0RvYy54bWysUsGO2yAQvVfqPyDuDY7bza6sOKuqq/RS&#10;tatu+wEEYxsJGMSQ2Pmcfkt/rANJk1V7W60PmIHHm3lvZn0/O8sOOqIB3/LlouJMewWd8UPLf/7Y&#10;vrvjDJP0nbTgdcuPGvn95u2b9RQaXcMIttOREYnHZgotH1MKjRCoRu0kLiBoT5c9RCcThXEQXZQT&#10;sTsr6qpaiQliFyIojUinD6dLvin8fa9V+tb3qBOzLafaUlljWXd5FZu1bIYow2jUuQz5giqcNJ6S&#10;XqgeZJJsH81/VM6oCAh9WihwAvreKF00kJpl9Y+ap1EGXbSQORguNuHr0aqvh8fITNfyD6slZ146&#10;atJ3su33Lz/sLbDbbNEUsCHkU3iM5whpm/XOfXT5T0rYXGw9XmzVc2KKDuub+q6+WXGm6O59dUtf&#10;JhXX1yFi+qzBsbxpeaT8xU15+ILpBP0LyckQrOm2xtoS5FHRn2xkB0lN3g3LM/kzlMgCTiXnXZp3&#10;c9FcoPlkB92RfJhoEFruaVJLegwf9wm2ppRwhVHpOaCOFBHn6cktfx4X1HXGN38AAAD//wMAUEsD&#10;BBQABgAIAAAAIQDX/Fnj4gAAAAsBAAAPAAAAZHJzL2Rvd25yZXYueG1sTI9LT8MwEITvSPwHa5G4&#10;USelzxCnqpB4qAKkPiTEzY2XJCJeR7bThn/PcoLjznyanclXg23FCX1oHClIRwkIpNKZhioFh/3D&#10;zQJEiJqMbh2hgm8MsCouL3KdGXemLZ52sRIcQiHTCuoYu0zKUNZodRi5Dom9T+etjnz6Shqvzxxu&#10;WzlOkpm0uiH+UOsO72ssv3a9VfC+f3vCTR8f15vxiw128vHsXzulrq+G9R2IiEP8g+G3PleHgjsd&#10;XU8miFbBZDmfMspGmvIGJhbL6RzEkZVZcguyyOX/DcUPAAAA//8DAFBLAQItABQABgAIAAAAIQC2&#10;gziS/gAAAOEBAAATAAAAAAAAAAAAAAAAAAAAAABbQ29udGVudF9UeXBlc10ueG1sUEsBAi0AFAAG&#10;AAgAAAAhADj9If/WAAAAlAEAAAsAAAAAAAAAAAAAAAAALwEAAF9yZWxzLy5yZWxzUEsBAi0AFAAG&#10;AAgAAAAhAF9oo9ulAQAAKwMAAA4AAAAAAAAAAAAAAAAALgIAAGRycy9lMm9Eb2MueG1sUEsBAi0A&#10;FAAGAAgAAAAhANf8WePiAAAACwEAAA8AAAAAAAAAAAAAAAAA/wMAAGRycy9kb3ducmV2LnhtbFBL&#10;BQYAAAAABAAEAPMAAAAOBQAAAAA=&#10;" fillcolor="white [3212]" stroked="f">
                <v:textbox style="mso-fit-shape-to-text:t">
                  <w:txbxContent>
                    <w:p w:rsidR="006E635E" w:rsidRDefault="006E635E" w:rsidP="002B0B09">
                      <w:pPr>
                        <w:pStyle w:val="NormalWeb"/>
                        <w:spacing w:before="0" w:after="0"/>
                      </w:pPr>
                      <w:r>
                        <w:rPr>
                          <w:rFonts w:ascii="Tahoma" w:eastAsia="Tahoma" w:hAnsi="Tahoma" w:cs="Tahoma"/>
                          <w:b/>
                          <w:bCs/>
                          <w:color w:val="002060"/>
                          <w:kern w:val="24"/>
                          <w:sz w:val="28"/>
                          <w:szCs w:val="28"/>
                        </w:rPr>
                        <w:t>ESTRATEGIA DE ALCANCE</w:t>
                      </w:r>
                    </w:p>
                  </w:txbxContent>
                </v:textbox>
              </v:rect>
            </w:pict>
          </mc:Fallback>
        </mc:AlternateContent>
      </w: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9920" behindDoc="0" locked="0" layoutInCell="1" allowOverlap="1" wp14:anchorId="172412AA" wp14:editId="5DECBDFA">
                <wp:simplePos x="0" y="0"/>
                <wp:positionH relativeFrom="margin">
                  <wp:align>left</wp:align>
                </wp:positionH>
                <wp:positionV relativeFrom="paragraph">
                  <wp:posOffset>106177</wp:posOffset>
                </wp:positionV>
                <wp:extent cx="3242930" cy="461665"/>
                <wp:effectExtent l="0" t="0" r="0" b="1905"/>
                <wp:wrapNone/>
                <wp:docPr id="49" name="Rectángulo 5"/>
                <wp:cNvGraphicFramePr/>
                <a:graphic xmlns:a="http://schemas.openxmlformats.org/drawingml/2006/main">
                  <a:graphicData uri="http://schemas.microsoft.com/office/word/2010/wordprocessingShape">
                    <wps:wsp>
                      <wps:cNvSpPr/>
                      <wps:spPr>
                        <a:xfrm>
                          <a:off x="0" y="0"/>
                          <a:ext cx="3242930" cy="461665"/>
                        </a:xfrm>
                        <a:prstGeom prst="rect">
                          <a:avLst/>
                        </a:prstGeom>
                        <a:solidFill>
                          <a:schemeClr val="tx1">
                            <a:lumMod val="50000"/>
                            <a:lumOff val="50000"/>
                          </a:schemeClr>
                        </a:solidFill>
                      </wps:spPr>
                      <wps:txbx>
                        <w:txbxContent>
                          <w:p w:rsidR="006E635E" w:rsidRPr="001C7F95" w:rsidRDefault="006E635E" w:rsidP="002B0B09">
                            <w:pPr>
                              <w:pStyle w:val="NormalWeb"/>
                              <w:spacing w:before="0" w:after="0"/>
                              <w:rPr>
                                <w:sz w:val="20"/>
                              </w:rPr>
                            </w:pPr>
                            <w:r w:rsidRPr="001C7F95">
                              <w:rPr>
                                <w:rFonts w:ascii="Tahoma" w:eastAsia="Tahoma" w:hAnsi="Tahoma" w:cs="Tahoma"/>
                                <w:color w:val="002060"/>
                                <w:kern w:val="24"/>
                                <w:sz w:val="20"/>
                              </w:rPr>
                              <w:t>Programa Mejoramiento Integral de Barrios (POT)</w:t>
                            </w:r>
                          </w:p>
                          <w:p w:rsidR="006E635E" w:rsidRPr="001C7F95" w:rsidRDefault="006E635E" w:rsidP="002B0B09">
                            <w:pPr>
                              <w:pStyle w:val="NormalWeb"/>
                              <w:spacing w:before="0" w:after="0"/>
                              <w:rPr>
                                <w:sz w:val="20"/>
                              </w:rPr>
                            </w:pPr>
                            <w:r w:rsidRPr="001C7F95">
                              <w:rPr>
                                <w:rFonts w:ascii="Tahoma" w:eastAsia="Tahoma" w:hAnsi="Tahoma" w:cs="Tahoma"/>
                                <w:color w:val="002060"/>
                                <w:kern w:val="24"/>
                                <w:sz w:val="20"/>
                              </w:rPr>
                              <w:t>Programa Intervenciones Integral del  Hábitat (PDD)</w:t>
                            </w:r>
                          </w:p>
                        </w:txbxContent>
                      </wps:txbx>
                      <wps:bodyPr wrap="square">
                        <a:spAutoFit/>
                      </wps:bodyPr>
                    </wps:wsp>
                  </a:graphicData>
                </a:graphic>
                <wp14:sizeRelH relativeFrom="margin">
                  <wp14:pctWidth>0</wp14:pctWidth>
                </wp14:sizeRelH>
              </wp:anchor>
            </w:drawing>
          </mc:Choice>
          <mc:Fallback>
            <w:pict>
              <v:rect w14:anchorId="172412AA" id="Rectángulo 5" o:spid="_x0000_s1028" style="position:absolute;left:0;text-align:left;margin-left:0;margin-top:8.35pt;width:255.35pt;height:36.35pt;z-index:2517299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WAhwgEAAGcDAAAOAAAAZHJzL2Uyb0RvYy54bWysU82O2yAQvlfqOyDuDY43G3WtOKuqq/TS&#10;n9Vu+wAEcIwEDAUcO4/TZ+mLdcDZ7Gp7q+oDZobhm/m+GTa3kzXkqELU4Fq6XFSUKCdAando6Y/v&#10;u3fvKYmJO8kNONXSk4r0dvv2zWb0jaqhByNVIAjiYjP6lvYp+YaxKHpleVyAVw4POwiWJzTDgcnA&#10;R0S3htVVtWYjBOkDCBUjeu/mQ7ot+F2nRPrWdVElYlqKtaWyhrLu88q2G94cAve9Fucy+D9UYbl2&#10;mPQCdccTJ0PQf0FZLQJE6NJCgGXQdVqowgHZLKtXbB577lXhguJEf5Ep/j9Y8fV4H4iWLV3dUOK4&#10;xR49oGq/f7nDYIBcZ4VGHxsMfPT34WxF3Ga6Uxds/iMRMhVVTxdV1ZSIQOdVvapvrlB8gWer9XK9&#10;LqDs+bYPMX1SYEnetDRg/iImP36OCTNi6FNIThbBaLnTxhQjT4r6aAI5cuxxmpblqhnsF5Cz77rC&#10;b+40unEeXrkRvsxbRinJXiRgmfvMNu/StJ+KWvWTLnuQJ1RwxBFqafw58JA7hoj+w5Bgp0v9+eoc&#10;iPjZwG6WTOfJy+Py0i5Rz+9j+wcAAP//AwBQSwMEFAAGAAgAAAAhAPUZmCfcAAAABgEAAA8AAABk&#10;cnMvZG93bnJldi54bWxMj0FPwzAMhe9I/IfISNxY2jHGKE2nCgTckBiTBresMU0hcaom68q/x5zg&#10;5udnvfe5XE/eiRGH2AVSkM8yEEhNMB21CravDxcrEDFpMtoFQgXfGGFdnZ6UujDhSC84blIrOIRi&#10;oRXYlPpCythY9DrOQo/E3kcYvE4sh1aaQR853Ds5z7Kl9LojbrC6xzuLzdfm4BU8L3L5+HT57tJY&#10;18G+Tfc4330qdX421bcgEk7p7xh+8RkdKmbahwOZKJwCfiTxdnkNgt2rPONhr2B1swBZlfI/fvUD&#10;AAD//wMAUEsBAi0AFAAGAAgAAAAhALaDOJL+AAAA4QEAABMAAAAAAAAAAAAAAAAAAAAAAFtDb250&#10;ZW50X1R5cGVzXS54bWxQSwECLQAUAAYACAAAACEAOP0h/9YAAACUAQAACwAAAAAAAAAAAAAAAAAv&#10;AQAAX3JlbHMvLnJlbHNQSwECLQAUAAYACAAAACEAcKFgIcIBAABnAwAADgAAAAAAAAAAAAAAAAAu&#10;AgAAZHJzL2Uyb0RvYy54bWxQSwECLQAUAAYACAAAACEA9RmYJ9wAAAAGAQAADwAAAAAAAAAAAAAA&#10;AAAcBAAAZHJzL2Rvd25yZXYueG1sUEsFBgAAAAAEAAQA8wAAACUFAAAAAA==&#10;" fillcolor="gray [1629]" stroked="f">
                <v:textbox style="mso-fit-shape-to-text:t">
                  <w:txbxContent>
                    <w:p w:rsidR="006E635E" w:rsidRPr="001C7F95" w:rsidRDefault="006E635E" w:rsidP="002B0B09">
                      <w:pPr>
                        <w:pStyle w:val="NormalWeb"/>
                        <w:spacing w:before="0" w:after="0"/>
                        <w:rPr>
                          <w:sz w:val="20"/>
                        </w:rPr>
                      </w:pPr>
                      <w:r w:rsidRPr="001C7F95">
                        <w:rPr>
                          <w:rFonts w:ascii="Tahoma" w:eastAsia="Tahoma" w:hAnsi="Tahoma" w:cs="Tahoma"/>
                          <w:color w:val="002060"/>
                          <w:kern w:val="24"/>
                          <w:sz w:val="20"/>
                        </w:rPr>
                        <w:t>Programa Mejoramiento Integral de Barrios (POT)</w:t>
                      </w:r>
                    </w:p>
                    <w:p w:rsidR="006E635E" w:rsidRPr="001C7F95" w:rsidRDefault="006E635E" w:rsidP="002B0B09">
                      <w:pPr>
                        <w:pStyle w:val="NormalWeb"/>
                        <w:spacing w:before="0" w:after="0"/>
                        <w:rPr>
                          <w:sz w:val="20"/>
                        </w:rPr>
                      </w:pPr>
                      <w:r w:rsidRPr="001C7F95">
                        <w:rPr>
                          <w:rFonts w:ascii="Tahoma" w:eastAsia="Tahoma" w:hAnsi="Tahoma" w:cs="Tahoma"/>
                          <w:color w:val="002060"/>
                          <w:kern w:val="24"/>
                          <w:sz w:val="20"/>
                        </w:rPr>
                        <w:t>Programa Intervenciones Integral del  Hábitat (PDD)</w:t>
                      </w:r>
                    </w:p>
                  </w:txbxContent>
                </v:textbox>
                <w10:wrap anchorx="margin"/>
              </v:rect>
            </w:pict>
          </mc:Fallback>
        </mc:AlternateContent>
      </w: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8896" behindDoc="0" locked="0" layoutInCell="1" allowOverlap="1" wp14:anchorId="5E40FED4" wp14:editId="7E7CF124">
                <wp:simplePos x="0" y="0"/>
                <wp:positionH relativeFrom="column">
                  <wp:posOffset>10222230</wp:posOffset>
                </wp:positionH>
                <wp:positionV relativeFrom="paragraph">
                  <wp:posOffset>2066290</wp:posOffset>
                </wp:positionV>
                <wp:extent cx="3779912" cy="461665"/>
                <wp:effectExtent l="0" t="0" r="0" b="0"/>
                <wp:wrapNone/>
                <wp:docPr id="40" name="Rectángulo 5"/>
                <wp:cNvGraphicFramePr/>
                <a:graphic xmlns:a="http://schemas.openxmlformats.org/drawingml/2006/main">
                  <a:graphicData uri="http://schemas.microsoft.com/office/word/2010/wordprocessingShape">
                    <wps:wsp>
                      <wps:cNvSpPr/>
                      <wps:spPr>
                        <a:xfrm>
                          <a:off x="0" y="0"/>
                          <a:ext cx="3779912" cy="461665"/>
                        </a:xfrm>
                        <a:prstGeom prst="rect">
                          <a:avLst/>
                        </a:prstGeom>
                        <a:solidFill>
                          <a:schemeClr val="tx1">
                            <a:lumMod val="50000"/>
                            <a:lumOff val="50000"/>
                          </a:schemeClr>
                        </a:solidFill>
                      </wps:spPr>
                      <wps:txbx>
                        <w:txbxContent>
                          <w:p w:rsidR="006E635E" w:rsidRPr="006E282C" w:rsidRDefault="006E635E"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Mejoramiento Integral de Barrios (POT)</w:t>
                            </w:r>
                          </w:p>
                          <w:p w:rsidR="006E635E" w:rsidRPr="006E282C" w:rsidRDefault="006E635E"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Intervenciones Integral del  Hábitat (PDD)</w:t>
                            </w:r>
                          </w:p>
                        </w:txbxContent>
                      </wps:txbx>
                      <wps:bodyPr wrap="square">
                        <a:spAutoFit/>
                      </wps:bodyPr>
                    </wps:wsp>
                  </a:graphicData>
                </a:graphic>
              </wp:anchor>
            </w:drawing>
          </mc:Choice>
          <mc:Fallback>
            <w:pict>
              <v:rect w14:anchorId="5E40FED4" id="_x0000_s1029" style="position:absolute;left:0;text-align:left;margin-left:804.9pt;margin-top:162.7pt;width:297.6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kRwwEAAGcDAAAOAAAAZHJzL2Uyb0RvYy54bWysU0tu2zAQ3RfoHQjua0lO4jSC5aBo4G76&#10;CZL2ADQ/FgGSw5KUJR+nZ+nFOqQcJ0h3RbWgOMPhm3lvhuvbyRpykCFqcB1tFjUl0nEQ2u07+uP7&#10;9t17SmJiTjADTnb0KCO93bx9sx59K5fQgxEyEARxsR19R/uUfFtVkffSsrgALx0eKgiWJTTDvhKB&#10;jYhuTbWs61U1QhA+AJcxovduPqSbgq+U5OmbUlEmYjqKtaWyhrLu8lpt1qzdB+Z7zU9lsH+owjLt&#10;MOkZ6o4lRoag/4KymgeIoNKCg61AKc1l4YBsmvoVm8eeeVm4oDjRn2WK/w+Wfz3cB6JFRy9RHscs&#10;9ugBVfv9y+0HA+QqKzT62GLgo78PJyviNtOdVLD5j0TIVFQ9nlWVUyIcnRfX1zc3zZISjmeXq2a1&#10;KqDV820fYvokwZK86WjA/EVMdvgcE2bE0KeQnCyC0WKrjSlGnhT50QRyYNjjNDXlqhnsFxCz76rG&#10;b+40unEeXrkRvsxbRinJXiSoMveZbd6laTcVtS6edNmBOKKCI45QR+PPgYXcMUT0H4YEW13qz1fn&#10;QMTPBnazZDpNXh6Xl3aJen4fmz8AAAD//wMAUEsDBBQABgAIAAAAIQAKBsHA4QAAAA0BAAAPAAAA&#10;ZHJzL2Rvd25yZXYueG1sTI9LT8MwEITvSPwHa5G4UTvuQ22IU0Ug4IZEQaK9uckSB/yIYjcN/57l&#10;BMfZGc18W2wnZ9mIQ+yCV5DNBDD0dWg63yp4e324WQOLSftG2+BRwTdG2JaXF4XOm3D2LzjuUsuo&#10;xMdcKzAp9TnnsTbodJyFHj15H2FwOpEcWt4M+kzlznIpxIo73XlaMLrHO4P11+7kFDwvMv74ND/Y&#10;NFZVMPvpHuX7p1LXV1N1CyzhlP7C8ItP6FAS0zGcfBOZJb0SG2JPCuZyuQBGESnFMgN2pNNmnQEv&#10;C/7/i/IHAAD//wMAUEsBAi0AFAAGAAgAAAAhALaDOJL+AAAA4QEAABMAAAAAAAAAAAAAAAAAAAAA&#10;AFtDb250ZW50X1R5cGVzXS54bWxQSwECLQAUAAYACAAAACEAOP0h/9YAAACUAQAACwAAAAAAAAAA&#10;AAAAAAAvAQAAX3JlbHMvLnJlbHNQSwECLQAUAAYACAAAACEAbqWZEcMBAABnAwAADgAAAAAAAAAA&#10;AAAAAAAuAgAAZHJzL2Uyb0RvYy54bWxQSwECLQAUAAYACAAAACEACgbBwOEAAAANAQAADwAAAAAA&#10;AAAAAAAAAAAdBAAAZHJzL2Rvd25yZXYueG1sUEsFBgAAAAAEAAQA8wAAACsFAAAAAA==&#10;" fillcolor="gray [1629]" stroked="f">
                <v:textbox style="mso-fit-shape-to-text:t">
                  <w:txbxContent>
                    <w:p w:rsidR="006E635E" w:rsidRPr="006E282C" w:rsidRDefault="006E635E"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Mejoramiento Integral de Barrios (POT)</w:t>
                      </w:r>
                    </w:p>
                    <w:p w:rsidR="006E635E" w:rsidRPr="006E282C" w:rsidRDefault="006E635E"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Intervenciones Integral del  Hábitat (PDD)</w:t>
                      </w:r>
                    </w:p>
                  </w:txbxContent>
                </v:textbox>
              </v:rect>
            </w:pict>
          </mc:Fallback>
        </mc:AlternateContent>
      </w:r>
      <w:r w:rsidRPr="00CC51E2">
        <w:rPr>
          <w:rFonts w:ascii="Arial" w:hAnsi="Arial" w:cs="Arial"/>
          <w:noProof/>
          <w:sz w:val="20"/>
          <w:szCs w:val="20"/>
          <w:lang w:val="es-ES" w:eastAsia="es-ES"/>
        </w:rPr>
        <w:drawing>
          <wp:inline distT="0" distB="0" distL="0" distR="0" wp14:anchorId="1A3BE206" wp14:editId="065AC20C">
            <wp:extent cx="5800725" cy="5226756"/>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3192" cy="5228979"/>
                    </a:xfrm>
                    <a:prstGeom prst="rect">
                      <a:avLst/>
                    </a:prstGeom>
                    <a:noFill/>
                  </pic:spPr>
                </pic:pic>
              </a:graphicData>
            </a:graphic>
          </wp:inline>
        </w:drawing>
      </w:r>
    </w:p>
    <w:p w:rsidR="002B0B09" w:rsidRPr="00CC51E2" w:rsidRDefault="002B0B09" w:rsidP="002B0B09">
      <w:pPr>
        <w:pStyle w:val="Default"/>
        <w:spacing w:line="276" w:lineRule="auto"/>
        <w:jc w:val="both"/>
        <w:rPr>
          <w:sz w:val="20"/>
          <w:szCs w:val="20"/>
        </w:rPr>
      </w:pPr>
      <w:r w:rsidRPr="00CC51E2">
        <w:rPr>
          <w:sz w:val="20"/>
          <w:szCs w:val="20"/>
        </w:rPr>
        <w:t>Es así como en Bogotá D.C., la Dirección de Mejoramiento de Barrios adelanta obras civiles en espacio público a escala barrial que desarrollan el embellecimiento de la ciudad y permiten a los Bogotanos transitar por vías, vías peatonales, ciclo rutas, escaleras, plazoletas y parques, adecuados para el creciente volumen de ciudadanos que tiene el Distrito Capital en la actualidad, en los barrios legalizados de origen informal que colindan con la franja de adecuación y rural de la ciudad.</w:t>
      </w:r>
    </w:p>
    <w:p w:rsidR="00612AE6" w:rsidRPr="00CC51E2" w:rsidRDefault="00612AE6" w:rsidP="002B0B09">
      <w:pPr>
        <w:pStyle w:val="Default"/>
        <w:spacing w:line="276" w:lineRule="auto"/>
        <w:jc w:val="both"/>
        <w:rPr>
          <w:sz w:val="20"/>
          <w:szCs w:val="20"/>
        </w:rPr>
      </w:pPr>
    </w:p>
    <w:p w:rsidR="00612AE6" w:rsidRPr="00CC51E2" w:rsidRDefault="00612AE6" w:rsidP="002B0B09">
      <w:pPr>
        <w:pStyle w:val="Default"/>
        <w:spacing w:line="276" w:lineRule="auto"/>
        <w:jc w:val="both"/>
        <w:rPr>
          <w:sz w:val="20"/>
          <w:szCs w:val="20"/>
        </w:rPr>
      </w:pPr>
    </w:p>
    <w:p w:rsidR="002B0B09" w:rsidRPr="00CC51E2" w:rsidRDefault="002B0B09" w:rsidP="0057468E">
      <w:pPr>
        <w:pStyle w:val="Default"/>
        <w:numPr>
          <w:ilvl w:val="0"/>
          <w:numId w:val="17"/>
        </w:numPr>
        <w:spacing w:line="276" w:lineRule="auto"/>
        <w:jc w:val="both"/>
        <w:rPr>
          <w:sz w:val="20"/>
          <w:szCs w:val="20"/>
        </w:rPr>
      </w:pPr>
      <w:r w:rsidRPr="00CC51E2">
        <w:rPr>
          <w:b/>
          <w:sz w:val="20"/>
          <w:szCs w:val="20"/>
        </w:rPr>
        <w:lastRenderedPageBreak/>
        <w:t>Cumplimiento de las competencias territoriales</w:t>
      </w:r>
    </w:p>
    <w:p w:rsidR="002B0B09" w:rsidRPr="00CC51E2" w:rsidRDefault="002B0B09" w:rsidP="002B0B09">
      <w:pPr>
        <w:pStyle w:val="Default"/>
        <w:spacing w:line="276" w:lineRule="auto"/>
        <w:ind w:left="720"/>
        <w:jc w:val="both"/>
        <w:rPr>
          <w:sz w:val="20"/>
          <w:szCs w:val="20"/>
        </w:rPr>
      </w:pPr>
    </w:p>
    <w:p w:rsidR="002B0B09" w:rsidRPr="00CC51E2" w:rsidRDefault="002B0B09" w:rsidP="002B0B09">
      <w:pPr>
        <w:pStyle w:val="Default"/>
        <w:spacing w:line="276" w:lineRule="auto"/>
        <w:jc w:val="both"/>
        <w:rPr>
          <w:sz w:val="20"/>
          <w:szCs w:val="20"/>
        </w:rPr>
      </w:pPr>
    </w:p>
    <w:p w:rsidR="002B0B09" w:rsidRPr="00CC51E2" w:rsidRDefault="002B0B09" w:rsidP="002B0B09">
      <w:pPr>
        <w:pStyle w:val="Default"/>
        <w:spacing w:line="276" w:lineRule="auto"/>
        <w:jc w:val="both"/>
        <w:rPr>
          <w:sz w:val="20"/>
          <w:szCs w:val="20"/>
        </w:rPr>
      </w:pPr>
    </w:p>
    <w:p w:rsidR="002B0B09" w:rsidRPr="00CC51E2" w:rsidRDefault="002B0B09" w:rsidP="002B0B09">
      <w:pPr>
        <w:pStyle w:val="Prrafodelista"/>
        <w:spacing w:after="0" w:line="480" w:lineRule="auto"/>
        <w:jc w:val="both"/>
        <w:rPr>
          <w:rFonts w:ascii="Arial" w:eastAsia="Times New Roman" w:hAnsi="Arial" w:cs="Arial"/>
          <w:b/>
          <w:sz w:val="20"/>
          <w:szCs w:val="20"/>
          <w:lang w:eastAsia="es-CO"/>
        </w:rPr>
      </w:pPr>
      <w:r w:rsidRPr="00CC51E2">
        <w:rPr>
          <w:rFonts w:ascii="Arial" w:hAnsi="Arial" w:cs="Arial"/>
          <w:noProof/>
          <w:sz w:val="20"/>
          <w:szCs w:val="20"/>
          <w:lang w:val="es-ES" w:eastAsia="es-ES"/>
        </w:rPr>
        <w:drawing>
          <wp:anchor distT="0" distB="0" distL="114300" distR="114300" simplePos="0" relativeHeight="251731968" behindDoc="0" locked="0" layoutInCell="1" allowOverlap="1" wp14:anchorId="62D2ECDF" wp14:editId="50D60EC9">
            <wp:simplePos x="0" y="0"/>
            <wp:positionH relativeFrom="column">
              <wp:posOffset>453390</wp:posOffset>
            </wp:positionH>
            <wp:positionV relativeFrom="paragraph">
              <wp:posOffset>-403225</wp:posOffset>
            </wp:positionV>
            <wp:extent cx="4391025" cy="6681470"/>
            <wp:effectExtent l="0" t="0" r="9525" b="5080"/>
            <wp:wrapSquare wrapText="bothSides"/>
            <wp:docPr id="50" name="Imagen 50" descr="C:\Users\mfnarvaez\AppData\Local\Microsoft\Windows\INetCache\Content.Word\RENDICION_CUENTAS_2016_2017_TCO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narvaez\AppData\Local\Microsoft\Windows\INetCache\Content.Word\RENDICION_CUENTAS_2016_2017_TCO_V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147" t="5057" r="3987" b="4487"/>
                    <a:stretch/>
                  </pic:blipFill>
                  <pic:spPr bwMode="auto">
                    <a:xfrm>
                      <a:off x="0" y="0"/>
                      <a:ext cx="4391025" cy="6681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B09" w:rsidRPr="00CC51E2" w:rsidRDefault="002B0B09" w:rsidP="002B0B09">
      <w:pPr>
        <w:spacing w:before="100" w:beforeAutospacing="1" w:after="100" w:afterAutospacing="1"/>
        <w:jc w:val="both"/>
        <w:rPr>
          <w:rFonts w:ascii="Arial" w:hAnsi="Arial" w:cs="Arial"/>
          <w:noProof/>
          <w:sz w:val="20"/>
          <w:szCs w:val="20"/>
          <w:lang w:eastAsia="es-ES"/>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lastRenderedPageBreak/>
        <w:t>En la actual administración, se ha dado un enfoque dirigido a las competencias territoriales, atendiendo la delimitación de los 13 Territorios Con Oportunidad (TCO), donde la entidad ha logrado adelantar obras de infraestructura y salones comunales, las cuales permiten contribuir a las “intervenciones integrales en el hábitat”, en 11 de los territorios establecidos.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A la fecha la Entidad desarrolla 117 obras de infraestructura en los 11 territorios priorizados, de las cuales 62 obras se han entregado a la comunidad, 27 se encuentran en ejecución y 28 en contratación, para un total de 55 obras de infraestructura en espacio público a escala barrial, programados en la Bogotá Mejor para Todos.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Con el fin de fortalecer los procesos de participación comunitaria, se han entregado a la comunidad 13 salones reparados y se encuentran en ejecución 20 reparaciones más, programados con los recursos de la vigencia 2017.</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line="240" w:lineRule="auto"/>
        <w:jc w:val="both"/>
        <w:rPr>
          <w:rFonts w:ascii="Arial" w:eastAsia="Times New Roman" w:hAnsi="Arial" w:cs="Arial"/>
          <w:sz w:val="20"/>
          <w:szCs w:val="20"/>
          <w:lang w:eastAsia="es-CO"/>
        </w:rPr>
      </w:pPr>
      <w:r w:rsidRPr="00CC51E2">
        <w:rPr>
          <w:rFonts w:ascii="Arial" w:eastAsia="Times New Roman" w:hAnsi="Arial" w:cs="Arial"/>
          <w:b/>
          <w:sz w:val="20"/>
          <w:szCs w:val="20"/>
          <w:lang w:eastAsia="es-CO"/>
        </w:rPr>
        <w:t>Nota</w:t>
      </w:r>
      <w:r w:rsidRPr="00CC51E2">
        <w:rPr>
          <w:rFonts w:ascii="Arial" w:eastAsia="Times New Roman" w:hAnsi="Arial" w:cs="Arial"/>
          <w:sz w:val="20"/>
          <w:szCs w:val="20"/>
          <w:lang w:eastAsia="es-CO"/>
        </w:rPr>
        <w:tab/>
        <w:t>Se anexan imágenes de los mapas con la ubicación geográfica por localidad, de las entregas misionales a la comunidad, de las intervenciones que se encuentran en ejecución y las que se han proyectado ejecutar. Por las vigencias 2016 y 2017. Folios (12 imágenes).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57468E">
      <w:pPr>
        <w:pStyle w:val="Prrafodelista"/>
        <w:numPr>
          <w:ilvl w:val="0"/>
          <w:numId w:val="17"/>
        </w:numPr>
        <w:spacing w:after="0"/>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Cumplimiento de los compromisos establecidos en el Plan de Desarrollo Distrital “Bogotá Mejor para Todos”.</w:t>
      </w:r>
    </w:p>
    <w:p w:rsidR="002B0B09" w:rsidRPr="00CC51E2" w:rsidRDefault="002B0B09" w:rsidP="002B0B09">
      <w:pPr>
        <w:rPr>
          <w:rFonts w:ascii="Arial" w:hAnsi="Arial" w:cs="Arial"/>
          <w:sz w:val="20"/>
          <w:szCs w:val="20"/>
          <w:lang w:val="es-ES_tradnl" w:eastAsia="es-CO"/>
        </w:rPr>
      </w:pPr>
    </w:p>
    <w:p w:rsidR="002B0B09" w:rsidRPr="00CC51E2" w:rsidRDefault="002B0B09" w:rsidP="002B0B09">
      <w:pPr>
        <w:overflowPunct w:val="0"/>
        <w:autoSpaceDE w:val="0"/>
        <w:autoSpaceDN w:val="0"/>
        <w:adjustRightInd w:val="0"/>
        <w:spacing w:after="0"/>
        <w:jc w:val="center"/>
        <w:textAlignment w:val="baseline"/>
        <w:rPr>
          <w:rFonts w:ascii="Arial" w:hAnsi="Arial" w:cs="Arial"/>
          <w:b/>
          <w:sz w:val="20"/>
          <w:szCs w:val="20"/>
        </w:rPr>
      </w:pPr>
      <w:r w:rsidRPr="00CC51E2">
        <w:rPr>
          <w:rFonts w:ascii="Arial" w:hAnsi="Arial" w:cs="Arial"/>
          <w:noProof/>
          <w:sz w:val="20"/>
          <w:szCs w:val="20"/>
          <w:lang w:val="es-ES" w:eastAsia="es-ES"/>
        </w:rPr>
        <w:drawing>
          <wp:inline distT="0" distB="0" distL="0" distR="0" wp14:anchorId="3F0224D0" wp14:editId="504B19B3">
            <wp:extent cx="4724400" cy="2505075"/>
            <wp:effectExtent l="0" t="0" r="0" b="9525"/>
            <wp:docPr id="448" name="Gráfico 44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B0B09" w:rsidRPr="00CC51E2" w:rsidRDefault="002B0B09" w:rsidP="002B0B09">
      <w:pPr>
        <w:overflowPunct w:val="0"/>
        <w:autoSpaceDE w:val="0"/>
        <w:autoSpaceDN w:val="0"/>
        <w:adjustRightInd w:val="0"/>
        <w:spacing w:after="0" w:line="360" w:lineRule="auto"/>
        <w:jc w:val="both"/>
        <w:textAlignment w:val="baseline"/>
        <w:rPr>
          <w:rFonts w:ascii="Arial" w:hAnsi="Arial" w:cs="Arial"/>
          <w:sz w:val="20"/>
          <w:szCs w:val="20"/>
        </w:rPr>
      </w:pPr>
    </w:p>
    <w:p w:rsidR="002B0B09" w:rsidRPr="00CC51E2" w:rsidRDefault="002B0B09" w:rsidP="002B0B09">
      <w:pPr>
        <w:jc w:val="both"/>
        <w:rPr>
          <w:rFonts w:ascii="Arial" w:hAnsi="Arial" w:cs="Arial"/>
          <w:sz w:val="20"/>
          <w:szCs w:val="20"/>
          <w:lang w:val="es-ES_tradnl" w:eastAsia="es-CO"/>
        </w:rPr>
      </w:pPr>
      <w:r w:rsidRPr="00CC51E2">
        <w:rPr>
          <w:rFonts w:ascii="Arial" w:hAnsi="Arial" w:cs="Arial"/>
          <w:sz w:val="20"/>
          <w:szCs w:val="20"/>
          <w:lang w:val="es-ES_tradnl" w:eastAsia="es-CO"/>
        </w:rPr>
        <w:t xml:space="preserve">El propósito de la meta es lograr la eficiencia en la gestión y la eficacia con la ejecución y entrega misional a la comunicad beneficiada de las intervenciones en espacio público a escala barrial priorizadas por la Secretaria Distrital del Hábitat para el cuatrienio, con el fin de aumentar la calidad de vida de la población, especialmente la de menores  ingresos, mediante la generación del acceso adecuado al espacio público y su reconocimiento como parte de la realidad cultural, mediante la ejecución de obras de intervención a </w:t>
      </w:r>
      <w:r w:rsidRPr="00CC51E2">
        <w:rPr>
          <w:rFonts w:ascii="Arial" w:hAnsi="Arial" w:cs="Arial"/>
          <w:sz w:val="20"/>
          <w:szCs w:val="20"/>
          <w:lang w:val="es-ES_tradnl" w:eastAsia="es-CO"/>
        </w:rPr>
        <w:lastRenderedPageBreak/>
        <w:t>escala barrial de parques de bolsillo y/o vecinales, plazoletas, plazuelas, vías, ciclo rutas, senderos peatonales, alamedas, escaleras, andenes rampas, reparaciones locativas en salones comunales y elementos funcionales del mobiliario urbano dentro de las intervenciones ejecutadas.</w:t>
      </w:r>
    </w:p>
    <w:p w:rsidR="002B0B09" w:rsidRPr="00CC51E2" w:rsidRDefault="002B0B09" w:rsidP="002B0B09">
      <w:pPr>
        <w:overflowPunct w:val="0"/>
        <w:autoSpaceDE w:val="0"/>
        <w:autoSpaceDN w:val="0"/>
        <w:adjustRightInd w:val="0"/>
        <w:spacing w:after="0" w:line="360" w:lineRule="auto"/>
        <w:jc w:val="both"/>
        <w:textAlignment w:val="baseline"/>
        <w:rPr>
          <w:rFonts w:ascii="Arial" w:hAnsi="Arial" w:cs="Arial"/>
          <w:sz w:val="20"/>
          <w:szCs w:val="20"/>
        </w:rPr>
      </w:pPr>
    </w:p>
    <w:p w:rsidR="002B0B09" w:rsidRPr="00CC51E2" w:rsidRDefault="002B0B09" w:rsidP="002B0B09">
      <w:pPr>
        <w:jc w:val="center"/>
        <w:rPr>
          <w:rFonts w:ascii="Arial" w:eastAsia="Times New Roman" w:hAnsi="Arial" w:cs="Arial"/>
          <w:sz w:val="20"/>
          <w:szCs w:val="20"/>
        </w:rPr>
      </w:pPr>
      <w:r w:rsidRPr="00CC51E2">
        <w:rPr>
          <w:rFonts w:ascii="Arial" w:hAnsi="Arial" w:cs="Arial"/>
          <w:noProof/>
          <w:sz w:val="20"/>
          <w:szCs w:val="20"/>
          <w:lang w:val="es-ES" w:eastAsia="es-ES"/>
        </w:rPr>
        <w:drawing>
          <wp:inline distT="0" distB="0" distL="0" distR="0" wp14:anchorId="6C25D592" wp14:editId="027F3150">
            <wp:extent cx="5305425" cy="3219450"/>
            <wp:effectExtent l="38100" t="0" r="9525" b="0"/>
            <wp:docPr id="449" name="Gráfico 449">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B0B09" w:rsidRPr="00CC51E2" w:rsidRDefault="002B0B09" w:rsidP="002B0B09">
      <w:pPr>
        <w:spacing w:after="0"/>
        <w:jc w:val="both"/>
        <w:rPr>
          <w:rFonts w:ascii="Arial" w:eastAsia="Times New Roman" w:hAnsi="Arial" w:cs="Arial"/>
          <w:sz w:val="20"/>
          <w:szCs w:val="20"/>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2B0B09" w:rsidRPr="007A396B" w:rsidRDefault="002B0B09" w:rsidP="002B0B09">
      <w:pPr>
        <w:spacing w:after="0"/>
        <w:ind w:left="708" w:firstLine="708"/>
        <w:jc w:val="both"/>
        <w:rPr>
          <w:rFonts w:ascii="Arial" w:eastAsia="Times New Roman" w:hAnsi="Arial" w:cs="Arial"/>
          <w:sz w:val="20"/>
          <w:szCs w:val="20"/>
          <w:lang w:eastAsia="es-CO"/>
        </w:rPr>
      </w:pPr>
      <w:r w:rsidRPr="007A396B">
        <w:rPr>
          <w:rFonts w:ascii="Arial" w:eastAsia="Times New Roman" w:hAnsi="Arial" w:cs="Arial"/>
          <w:b/>
          <w:bCs/>
          <w:sz w:val="20"/>
          <w:szCs w:val="20"/>
          <w:lang w:val="es-ES_tradnl" w:eastAsia="es-ES"/>
        </w:rPr>
        <w:t xml:space="preserve">Pilar: </w:t>
      </w:r>
      <w:r w:rsidRPr="007A396B">
        <w:rPr>
          <w:rFonts w:ascii="Arial" w:eastAsia="Times New Roman" w:hAnsi="Arial" w:cs="Arial"/>
          <w:bCs/>
          <w:sz w:val="20"/>
          <w:szCs w:val="20"/>
          <w:lang w:val="es-ES_tradnl" w:eastAsia="es-ES"/>
        </w:rPr>
        <w:t>02 - Pilar Democracia Urbana</w:t>
      </w:r>
    </w:p>
    <w:p w:rsidR="002B0B09" w:rsidRPr="007A396B" w:rsidRDefault="002B0B09" w:rsidP="002B0B09">
      <w:pPr>
        <w:overflowPunct w:val="0"/>
        <w:autoSpaceDE w:val="0"/>
        <w:autoSpaceDN w:val="0"/>
        <w:adjustRightInd w:val="0"/>
        <w:spacing w:after="0"/>
        <w:ind w:left="1416"/>
        <w:jc w:val="both"/>
        <w:textAlignment w:val="baseline"/>
        <w:rPr>
          <w:rFonts w:ascii="Arial" w:eastAsia="Times New Roman" w:hAnsi="Arial" w:cs="Arial"/>
          <w:sz w:val="20"/>
          <w:szCs w:val="20"/>
          <w:lang w:eastAsia="es-CO"/>
        </w:rPr>
      </w:pPr>
      <w:r w:rsidRPr="007A396B">
        <w:rPr>
          <w:rFonts w:ascii="Arial" w:eastAsia="Times New Roman" w:hAnsi="Arial" w:cs="Arial"/>
          <w:b/>
          <w:bCs/>
          <w:sz w:val="20"/>
          <w:szCs w:val="20"/>
          <w:lang w:val="es-ES_tradnl" w:eastAsia="es-ES"/>
        </w:rPr>
        <w:t>Programa:</w:t>
      </w:r>
      <w:r w:rsidRPr="007A396B">
        <w:rPr>
          <w:rFonts w:ascii="Arial" w:eastAsia="Times New Roman" w:hAnsi="Arial" w:cs="Arial"/>
          <w:sz w:val="20"/>
          <w:szCs w:val="20"/>
          <w:lang w:val="es-ES_tradnl" w:eastAsia="es-CO"/>
        </w:rPr>
        <w:t xml:space="preserve"> </w:t>
      </w:r>
      <w:r w:rsidRPr="007A396B">
        <w:rPr>
          <w:rFonts w:ascii="Arial" w:eastAsia="Times New Roman" w:hAnsi="Arial" w:cs="Arial"/>
          <w:sz w:val="20"/>
          <w:szCs w:val="20"/>
          <w:lang w:eastAsia="es-CO"/>
        </w:rPr>
        <w:t>14 - Intervenciones integrales del Hábitat</w:t>
      </w:r>
    </w:p>
    <w:p w:rsidR="007A396B" w:rsidRDefault="002B0B09" w:rsidP="007A396B">
      <w:pPr>
        <w:pStyle w:val="Ttulo4"/>
        <w:spacing w:line="276" w:lineRule="auto"/>
        <w:ind w:left="708" w:firstLine="708"/>
        <w:rPr>
          <w:rFonts w:ascii="Arial" w:hAnsi="Arial" w:cs="Arial"/>
          <w:color w:val="auto"/>
          <w:sz w:val="20"/>
          <w:szCs w:val="20"/>
          <w:lang w:eastAsia="es-CO"/>
        </w:rPr>
      </w:pPr>
      <w:r w:rsidRPr="007A396B">
        <w:rPr>
          <w:rFonts w:ascii="Arial" w:hAnsi="Arial" w:cs="Arial"/>
          <w:b w:val="0"/>
          <w:color w:val="auto"/>
          <w:sz w:val="20"/>
          <w:szCs w:val="20"/>
          <w:lang w:eastAsia="es-CO"/>
        </w:rPr>
        <w:t xml:space="preserve">Proyecto Estratégico: </w:t>
      </w:r>
      <w:r w:rsidRPr="007A396B">
        <w:rPr>
          <w:rFonts w:ascii="Arial" w:hAnsi="Arial" w:cs="Arial"/>
          <w:color w:val="auto"/>
          <w:sz w:val="20"/>
          <w:szCs w:val="20"/>
          <w:lang w:eastAsia="es-CO"/>
        </w:rPr>
        <w:t>134 - Intervenciones Integrales del Hábitat</w:t>
      </w:r>
    </w:p>
    <w:p w:rsidR="002B0B09" w:rsidRPr="00CC51E2" w:rsidRDefault="002B0B09" w:rsidP="007A396B">
      <w:pPr>
        <w:pStyle w:val="Ttulo4"/>
        <w:spacing w:line="276" w:lineRule="auto"/>
        <w:rPr>
          <w:rFonts w:ascii="Arial" w:hAnsi="Arial" w:cs="Arial"/>
          <w:b w:val="0"/>
          <w:color w:val="000000" w:themeColor="text1"/>
          <w:sz w:val="20"/>
          <w:szCs w:val="20"/>
        </w:rPr>
      </w:pPr>
      <w:r w:rsidRPr="00CC51E2">
        <w:rPr>
          <w:rFonts w:ascii="Arial" w:hAnsi="Arial" w:cs="Arial"/>
          <w:sz w:val="20"/>
          <w:szCs w:val="20"/>
        </w:rPr>
        <w:t>En materia de renovación urbana, ¿</w:t>
      </w:r>
      <w:r w:rsidRPr="00CC51E2">
        <w:rPr>
          <w:rFonts w:ascii="Arial" w:hAnsi="Arial" w:cs="Arial"/>
          <w:color w:val="000000" w:themeColor="text1"/>
          <w:sz w:val="20"/>
          <w:szCs w:val="20"/>
        </w:rPr>
        <w:t>Cuántos salones comunales se repararon de manera locativa en la administración actual, y cuántos se tienen programados reparar para el 2017?</w:t>
      </w:r>
    </w:p>
    <w:p w:rsidR="002B0B09" w:rsidRPr="00CC51E2" w:rsidRDefault="002B0B09" w:rsidP="002B0B09">
      <w:pPr>
        <w:spacing w:after="0"/>
        <w:jc w:val="both"/>
        <w:rPr>
          <w:rFonts w:ascii="Arial" w:hAnsi="Arial" w:cs="Arial"/>
          <w:b/>
          <w:color w:val="000000" w:themeColor="text1"/>
          <w:sz w:val="20"/>
          <w:szCs w:val="20"/>
        </w:rPr>
      </w:pPr>
    </w:p>
    <w:p w:rsidR="002B0B09" w:rsidRPr="00CC51E2" w:rsidRDefault="002B0B09" w:rsidP="002B0B09">
      <w:pPr>
        <w:spacing w:after="0"/>
        <w:jc w:val="both"/>
        <w:rPr>
          <w:rFonts w:ascii="Arial" w:hAnsi="Arial" w:cs="Arial"/>
          <w:color w:val="000000" w:themeColor="text1"/>
          <w:sz w:val="20"/>
          <w:szCs w:val="20"/>
        </w:rPr>
      </w:pPr>
      <w:r w:rsidRPr="00CC51E2">
        <w:rPr>
          <w:rFonts w:ascii="Arial" w:hAnsi="Arial" w:cs="Arial"/>
          <w:color w:val="000000" w:themeColor="text1"/>
          <w:sz w:val="20"/>
          <w:szCs w:val="20"/>
        </w:rPr>
        <w:t>A continuación, se presenta el reporte de 13 salones reparados, los valores ejecutados y la población beneficiada de manera indirecta, que fueron entregados a la comunidad, durante la gestión del plan de desarrollo distrital vigente.</w:t>
      </w:r>
    </w:p>
    <w:p w:rsidR="002B0B09" w:rsidRPr="00CC51E2" w:rsidRDefault="002B0B09" w:rsidP="002B0B09">
      <w:pPr>
        <w:spacing w:after="0"/>
        <w:jc w:val="both"/>
        <w:rPr>
          <w:rFonts w:ascii="Arial" w:hAnsi="Arial" w:cs="Arial"/>
          <w:color w:val="000000" w:themeColor="text1"/>
          <w:sz w:val="20"/>
          <w:szCs w:val="20"/>
        </w:rPr>
      </w:pPr>
    </w:p>
    <w:tbl>
      <w:tblPr>
        <w:tblW w:w="5000" w:type="pct"/>
        <w:tblCellMar>
          <w:left w:w="70" w:type="dxa"/>
          <w:right w:w="70" w:type="dxa"/>
        </w:tblCellMar>
        <w:tblLook w:val="04A0" w:firstRow="1" w:lastRow="0" w:firstColumn="1" w:lastColumn="0" w:noHBand="0" w:noVBand="1"/>
      </w:tblPr>
      <w:tblGrid>
        <w:gridCol w:w="2821"/>
        <w:gridCol w:w="1396"/>
        <w:gridCol w:w="1474"/>
        <w:gridCol w:w="1869"/>
        <w:gridCol w:w="1845"/>
      </w:tblGrid>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hAnsi="Arial" w:cs="Arial"/>
                <w:color w:val="000000" w:themeColor="text1"/>
                <w:sz w:val="20"/>
                <w:szCs w:val="20"/>
              </w:rPr>
              <w:br w:type="page"/>
            </w:r>
            <w:bookmarkStart w:id="5" w:name="_Hlk498671376"/>
            <w:r w:rsidRPr="00CC51E2">
              <w:rPr>
                <w:rFonts w:ascii="Arial" w:eastAsia="Times New Roman" w:hAnsi="Arial" w:cs="Arial"/>
                <w:color w:val="000000"/>
                <w:sz w:val="20"/>
                <w:szCs w:val="20"/>
                <w:u w:val="single"/>
                <w:lang w:eastAsia="es-CO"/>
              </w:rPr>
              <w:t>VIGENCIA 2016</w:t>
            </w:r>
          </w:p>
        </w:tc>
        <w:tc>
          <w:tcPr>
            <w:tcW w:w="72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p>
        </w:tc>
        <w:tc>
          <w:tcPr>
            <w:tcW w:w="74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ESTADO DEL PROCESO </w:t>
            </w:r>
          </w:p>
        </w:tc>
        <w:tc>
          <w:tcPr>
            <w:tcW w:w="2479"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ENTREGADO A LA COMUNIDAD</w:t>
            </w: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TIPOLOGÍA</w:t>
            </w:r>
          </w:p>
        </w:tc>
        <w:tc>
          <w:tcPr>
            <w:tcW w:w="1465"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SALÓN COMUNAL</w:t>
            </w: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TIPO DE PROCESO </w:t>
            </w:r>
          </w:p>
        </w:tc>
        <w:tc>
          <w:tcPr>
            <w:tcW w:w="1465"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REPARACIÓN LOCATIVA</w:t>
            </w: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1020"/>
        </w:trPr>
        <w:tc>
          <w:tcPr>
            <w:tcW w:w="1520"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LOCALIDAD</w:t>
            </w:r>
          </w:p>
        </w:tc>
        <w:tc>
          <w:tcPr>
            <w:tcW w:w="72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NÚMERO DE SALONES REPARADOS</w:t>
            </w:r>
          </w:p>
        </w:tc>
        <w:tc>
          <w:tcPr>
            <w:tcW w:w="74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POBLACIÓN BENEFICIADA</w:t>
            </w:r>
          </w:p>
        </w:tc>
        <w:tc>
          <w:tcPr>
            <w:tcW w:w="101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VALOR REAL EJECUTADO </w:t>
            </w:r>
          </w:p>
        </w:tc>
        <w:tc>
          <w:tcPr>
            <w:tcW w:w="100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PARTICIPACIÓN DEL PRESUPUESTO PARA SALONES COMUNALES</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BOSA</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5400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103.185.211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CIUDAD BOLÍVAR</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5000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242.112.870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19%</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RAFAEL URIBE URIBE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4200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335.256.555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26%</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 CRISTÓBAL</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92.331.966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SANTA FE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1800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168.104.463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SUBA</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1500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48.020.273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USAQUÉN</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1500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125.174.560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166.945.888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Total general</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21300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1.281.131.784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100%</w:t>
            </w:r>
          </w:p>
        </w:tc>
      </w:tr>
    </w:tbl>
    <w:bookmarkEnd w:id="5"/>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b/>
          <w:sz w:val="20"/>
          <w:szCs w:val="20"/>
        </w:rPr>
        <w:t>Nota</w:t>
      </w:r>
      <w:r w:rsidRPr="00CC51E2">
        <w:rPr>
          <w:rFonts w:ascii="Arial" w:eastAsia="Times New Roman" w:hAnsi="Arial" w:cs="Arial"/>
          <w:sz w:val="20"/>
          <w:szCs w:val="20"/>
        </w:rPr>
        <w:tab/>
        <w:t>Los valores están sujetos a modificación según actas de liquidación de los contratos 587 y 578 de 2015.</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t>Desde el mes de febrero hasta el mes de junio de 2017, se recibió la priorización elaborada por parte del IDPAC y la SDHT de 249 salones comunales, los cuales fueron georreferenciados, en los cuales se logró identificar los que cumplían con unas características mínimas como: estar ubicados en Territorios con Oportunidad y estar incorporados en la base de datos del espacio público.</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lastRenderedPageBreak/>
        <w:t>Se efectuaron visitas técnicas de reconocimiento In Situ con un equipo interdisciplinario de la Dirección de Mejoramiento de Barrios a los 74 salones que fueron identificados como oportunidades a previabilizar. Una vez realizados los estudios completos de previabilidad, se identificó un número final de 20 salones comunales que serían intervenidos con reparaciones locativas.</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t>Como resultado se logró el inicio de 20 reparaciones locativas en salones comunales con los recursos de infraestructura programados en la vigencia 2017. A continuación, se presenta el reporte con el número de reparaciones locativas, población a beneficiar y valor programado por localidad.</w:t>
      </w:r>
    </w:p>
    <w:p w:rsidR="002B0B09" w:rsidRPr="00CC51E2" w:rsidRDefault="002B0B09" w:rsidP="002B0B09">
      <w:pPr>
        <w:spacing w:after="0"/>
        <w:jc w:val="both"/>
        <w:rPr>
          <w:rFonts w:ascii="Arial" w:eastAsia="Times New Roman" w:hAnsi="Arial" w:cs="Arial"/>
          <w:sz w:val="20"/>
          <w:szCs w:val="20"/>
        </w:rPr>
      </w:pPr>
    </w:p>
    <w:tbl>
      <w:tblPr>
        <w:tblW w:w="4990" w:type="pct"/>
        <w:tblInd w:w="10" w:type="dxa"/>
        <w:tblCellMar>
          <w:left w:w="70" w:type="dxa"/>
          <w:right w:w="70" w:type="dxa"/>
        </w:tblCellMar>
        <w:tblLook w:val="04A0" w:firstRow="1" w:lastRow="0" w:firstColumn="1" w:lastColumn="0" w:noHBand="0" w:noVBand="1"/>
      </w:tblPr>
      <w:tblGrid>
        <w:gridCol w:w="2600"/>
        <w:gridCol w:w="1425"/>
        <w:gridCol w:w="1593"/>
        <w:gridCol w:w="2031"/>
        <w:gridCol w:w="1737"/>
      </w:tblGrid>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VIGENCIA 2017</w:t>
            </w:r>
          </w:p>
        </w:tc>
        <w:tc>
          <w:tcPr>
            <w:tcW w:w="7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p>
        </w:tc>
        <w:tc>
          <w:tcPr>
            <w:tcW w:w="85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ESTADO DEL PROCESO </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CONTRATACIÓN INICIADA</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TIPOLOGÍA</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SALÓN COMUNAL</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TIPO DE PROCESO </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REPARACIÓN LOCATIVA</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1020"/>
        </w:trPr>
        <w:tc>
          <w:tcPr>
            <w:tcW w:w="1387"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LOCALIDAD</w:t>
            </w:r>
          </w:p>
        </w:tc>
        <w:tc>
          <w:tcPr>
            <w:tcW w:w="76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NÚMERO DE SALONES REPARADOS</w:t>
            </w:r>
          </w:p>
        </w:tc>
        <w:tc>
          <w:tcPr>
            <w:tcW w:w="850"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POBLACIÓN A BENEFICIAR</w:t>
            </w:r>
          </w:p>
        </w:tc>
        <w:tc>
          <w:tcPr>
            <w:tcW w:w="1075"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VALOR PROGRAMADO </w:t>
            </w:r>
          </w:p>
        </w:tc>
        <w:tc>
          <w:tcPr>
            <w:tcW w:w="927"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PARTICIPACIÓN DEL PRESUPUESTO PARA SALONES COMUNALES</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SUBA</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2567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89.323.521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647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83.997.092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BOSA</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2395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512.192.541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22%</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CIUDAD BOLÍVAR</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1245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491.242.944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KENNEDY</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2452</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109.946.439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 CRISTÓBAL</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2586</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325.081.182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SANTA FE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124.474.840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USAQUÉN</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1277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212.207.664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985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359.099.330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16%</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 general</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20</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14592</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xml:space="preserve"> $       2.307.565.554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100%</w:t>
            </w:r>
          </w:p>
        </w:tc>
      </w:tr>
    </w:tbl>
    <w:p w:rsidR="002B0B09" w:rsidRPr="00CC51E2" w:rsidRDefault="002B0B09" w:rsidP="002B0B09">
      <w:pPr>
        <w:spacing w:line="240" w:lineRule="auto"/>
        <w:jc w:val="both"/>
        <w:rPr>
          <w:rFonts w:ascii="Arial" w:hAnsi="Arial" w:cs="Arial"/>
          <w:sz w:val="20"/>
          <w:szCs w:val="20"/>
        </w:rPr>
      </w:pPr>
      <w:r w:rsidRPr="00CC51E2">
        <w:rPr>
          <w:rFonts w:ascii="Arial" w:eastAsia="Times New Roman" w:hAnsi="Arial" w:cs="Arial"/>
          <w:b/>
          <w:sz w:val="20"/>
          <w:szCs w:val="20"/>
        </w:rPr>
        <w:t>Nota</w:t>
      </w:r>
      <w:r w:rsidRPr="00CC51E2">
        <w:rPr>
          <w:rFonts w:ascii="Arial" w:eastAsia="Times New Roman" w:hAnsi="Arial" w:cs="Arial"/>
          <w:sz w:val="20"/>
          <w:szCs w:val="20"/>
        </w:rPr>
        <w:t xml:space="preserve"> </w:t>
      </w:r>
      <w:r w:rsidRPr="00CC51E2">
        <w:rPr>
          <w:rFonts w:ascii="Arial" w:eastAsia="Times New Roman" w:hAnsi="Arial" w:cs="Arial"/>
          <w:sz w:val="20"/>
          <w:szCs w:val="20"/>
        </w:rPr>
        <w:tab/>
        <w:t>Los valores están sujetos a variar una vez se contrate la interventoría de la segunda licitación de reparaciones locativas.</w:t>
      </w:r>
    </w:p>
    <w:p w:rsidR="002B0B09" w:rsidRPr="00CC51E2" w:rsidRDefault="002B0B09" w:rsidP="002B0B09">
      <w:pPr>
        <w:spacing w:line="240" w:lineRule="auto"/>
        <w:jc w:val="both"/>
        <w:rPr>
          <w:rFonts w:ascii="Arial" w:hAnsi="Arial" w:cs="Arial"/>
          <w:b/>
          <w:sz w:val="20"/>
          <w:szCs w:val="20"/>
        </w:rPr>
      </w:pPr>
      <w:r w:rsidRPr="00CC51E2">
        <w:rPr>
          <w:rFonts w:ascii="Arial" w:hAnsi="Arial" w:cs="Arial"/>
          <w:b/>
          <w:sz w:val="20"/>
          <w:szCs w:val="20"/>
        </w:rPr>
        <w:t>¿Qué se ha hecho?</w:t>
      </w:r>
    </w:p>
    <w:p w:rsidR="002B0B09" w:rsidRPr="00CC51E2" w:rsidRDefault="002B0B09" w:rsidP="002B0B09">
      <w:pPr>
        <w:spacing w:line="240" w:lineRule="auto"/>
        <w:jc w:val="both"/>
        <w:rPr>
          <w:rFonts w:ascii="Arial" w:hAnsi="Arial" w:cs="Arial"/>
          <w:sz w:val="20"/>
          <w:szCs w:val="20"/>
        </w:rPr>
      </w:pPr>
      <w:r w:rsidRPr="00CC51E2">
        <w:rPr>
          <w:rFonts w:ascii="Arial" w:hAnsi="Arial" w:cs="Arial"/>
          <w:sz w:val="20"/>
          <w:szCs w:val="20"/>
        </w:rPr>
        <w:t>Dentro de las actividades del proceso de mejoramiento de barrios se incluyen la identificación de proyectos con estudios de previabilidad, la contratación de la ejecución y el seguimiento a la supervisión en los componentes Técnico, SSTMA –Seguridad, Salud en el trabajo y Medio Ambiente, y Social a los procesos vigentes de estudios y diseños y obras de infraestructura en espacio público a escala barrial, así como la estabilidad y sostenibilidad de las obras  entregas a satisfacción  a la comunidad.</w:t>
      </w:r>
    </w:p>
    <w:p w:rsidR="002B0B09" w:rsidRPr="00CC51E2" w:rsidRDefault="002B0B09" w:rsidP="002B0B09">
      <w:pPr>
        <w:spacing w:line="240" w:lineRule="auto"/>
        <w:jc w:val="both"/>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6493737F" wp14:editId="07C2BA24">
            <wp:extent cx="5962650" cy="7315200"/>
            <wp:effectExtent l="0" t="0" r="0" b="0"/>
            <wp:docPr id="450" name="Diagrama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lastRenderedPageBreak/>
        <w:t>A continuación, se relaciona el reporte con el número de obras finalizadas a satisfacción, la población beneficiada y valor real ejecutado por localidad.</w:t>
      </w:r>
    </w:p>
    <w:tbl>
      <w:tblPr>
        <w:tblW w:w="5000" w:type="pct"/>
        <w:tblCellMar>
          <w:left w:w="70" w:type="dxa"/>
          <w:right w:w="70" w:type="dxa"/>
        </w:tblCellMar>
        <w:tblLook w:val="04A0" w:firstRow="1" w:lastRow="0" w:firstColumn="1" w:lastColumn="0" w:noHBand="0" w:noVBand="1"/>
      </w:tblPr>
      <w:tblGrid>
        <w:gridCol w:w="2561"/>
        <w:gridCol w:w="1211"/>
        <w:gridCol w:w="1527"/>
        <w:gridCol w:w="1917"/>
        <w:gridCol w:w="2189"/>
      </w:tblGrid>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VIGENCIA 2016 Y 2017</w:t>
            </w:r>
          </w:p>
        </w:tc>
        <w:tc>
          <w:tcPr>
            <w:tcW w:w="64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p>
        </w:tc>
        <w:tc>
          <w:tcPr>
            <w:tcW w:w="812"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c>
          <w:tcPr>
            <w:tcW w:w="1019"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 xml:space="preserve">ESTADO DEL PROCESO </w:t>
            </w:r>
          </w:p>
        </w:tc>
        <w:tc>
          <w:tcPr>
            <w:tcW w:w="2475"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ENTREGADO A LA COMUNIDAD</w:t>
            </w: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TIPOLOGÍA</w:t>
            </w:r>
          </w:p>
        </w:tc>
        <w:tc>
          <w:tcPr>
            <w:tcW w:w="1456"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VÍAS Y ESCALERAS</w:t>
            </w:r>
          </w:p>
        </w:tc>
        <w:tc>
          <w:tcPr>
            <w:tcW w:w="1019"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 xml:space="preserve">TIPO DE PROCESO </w:t>
            </w:r>
          </w:p>
        </w:tc>
        <w:tc>
          <w:tcPr>
            <w:tcW w:w="2475"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CONSTRUCCIÓN DE LA OBRA</w:t>
            </w: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r>
      <w:tr w:rsidR="002B0B09" w:rsidRPr="00CC51E2" w:rsidTr="00315613">
        <w:trPr>
          <w:trHeight w:val="1370"/>
        </w:trPr>
        <w:tc>
          <w:tcPr>
            <w:tcW w:w="1361"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LOCALIDAD</w:t>
            </w:r>
          </w:p>
        </w:tc>
        <w:tc>
          <w:tcPr>
            <w:tcW w:w="64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NÚMERO DE OBRAS </w:t>
            </w:r>
          </w:p>
        </w:tc>
        <w:tc>
          <w:tcPr>
            <w:tcW w:w="812"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POBLACIÓN BENEFICIADA</w:t>
            </w:r>
          </w:p>
        </w:tc>
        <w:tc>
          <w:tcPr>
            <w:tcW w:w="1019"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VALOR REAL EJECUTADO </w:t>
            </w:r>
          </w:p>
        </w:tc>
        <w:tc>
          <w:tcPr>
            <w:tcW w:w="116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PARTICIPACIÓN DEL PRESUPUESTO PARA OBRAS DE INFRAESTRUCTURA</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BOSA</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246</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657.386.591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7%</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CIUDAD BOLÍVAR</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13</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281</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538.319.424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6%</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KENNEDY</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5100</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851.311.148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9%</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RAFAEL URIBE URIBE</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8</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349</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$ 1.072.757.218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12%</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SAN CRISTÓBAL</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1425</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$ 1.422.320.191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16%</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SUBA</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180</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455.897.718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5%</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USAQUÉN</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12</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2737</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$ 1.923.355.842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21%</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USME</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13</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3951</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$ 2.176.891.635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24%</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Total general</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62</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14269</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 xml:space="preserve"> $ 9.098.239.767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100%</w:t>
            </w:r>
          </w:p>
        </w:tc>
      </w:tr>
    </w:tbl>
    <w:p w:rsidR="002B0B09" w:rsidRPr="00CC51E2" w:rsidRDefault="002B0B09" w:rsidP="002B0B09">
      <w:pPr>
        <w:jc w:val="both"/>
        <w:rPr>
          <w:rFonts w:ascii="Arial" w:hAnsi="Arial" w:cs="Arial"/>
          <w:sz w:val="20"/>
          <w:szCs w:val="20"/>
        </w:rPr>
      </w:pPr>
      <w:r w:rsidRPr="00CC51E2">
        <w:rPr>
          <w:rFonts w:ascii="Arial" w:hAnsi="Arial" w:cs="Arial"/>
          <w:sz w:val="20"/>
          <w:szCs w:val="20"/>
        </w:rPr>
        <w:t>Nota</w:t>
      </w:r>
      <w:r w:rsidRPr="00CC51E2">
        <w:rPr>
          <w:rFonts w:ascii="Arial" w:hAnsi="Arial" w:cs="Arial"/>
          <w:sz w:val="20"/>
          <w:szCs w:val="20"/>
        </w:rPr>
        <w:tab/>
        <w:t>los valores reportados, están sobre acta de recibo parcial de obras.</w:t>
      </w:r>
    </w:p>
    <w:p w:rsidR="002B0B09" w:rsidRPr="00CC51E2" w:rsidRDefault="002B0B09" w:rsidP="002B0B09">
      <w:pPr>
        <w:jc w:val="both"/>
        <w:rPr>
          <w:rFonts w:ascii="Arial" w:hAnsi="Arial" w:cs="Arial"/>
          <w:sz w:val="20"/>
          <w:szCs w:val="20"/>
        </w:rPr>
      </w:pPr>
      <w:r w:rsidRPr="00CC51E2">
        <w:rPr>
          <w:rFonts w:ascii="Arial" w:hAnsi="Arial" w:cs="Arial"/>
          <w:sz w:val="20"/>
          <w:szCs w:val="20"/>
        </w:rPr>
        <w:t>El inicio de 27 intervenciones programadas en diciembre de 2016, continúo con el recibido a satisfacción de la elaboración de los estudios y diseños en el mes de julio de 2017.  Actualmente, la construcción de las obras en las localidades de Ciudad Bolívar, Usme y San Cristóbal, se encuentran con un avance aproximado del 30% en ejecución física según lo programado.</w:t>
      </w:r>
    </w:p>
    <w:p w:rsidR="002B0B09" w:rsidRPr="00CC51E2" w:rsidRDefault="002B0B09" w:rsidP="002B0B09">
      <w:pPr>
        <w:jc w:val="both"/>
        <w:rPr>
          <w:rFonts w:ascii="Arial" w:hAnsi="Arial" w:cs="Arial"/>
          <w:sz w:val="20"/>
          <w:szCs w:val="20"/>
        </w:rPr>
      </w:pPr>
      <w:r w:rsidRPr="00CC51E2">
        <w:rPr>
          <w:rFonts w:ascii="Arial" w:hAnsi="Arial" w:cs="Arial"/>
          <w:sz w:val="20"/>
          <w:szCs w:val="20"/>
        </w:rPr>
        <w:t>A continuación, adjuntamos registro fotográfico de las obras en ejecución para facilitar la ilustración del estado actual, también una imagen de cómo se encontraban las intervenciones iniciando el desarrollo y mejoramiento de los barrios.</w:t>
      </w:r>
    </w:p>
    <w:p w:rsidR="002B0B09" w:rsidRPr="00CC51E2" w:rsidRDefault="002B0B09" w:rsidP="002B0B09">
      <w:pPr>
        <w:jc w:val="both"/>
        <w:rPr>
          <w:rFonts w:ascii="Arial" w:eastAsia="Times New Roman"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359"/>
        <w:gridCol w:w="5000"/>
      </w:tblGrid>
      <w:tr w:rsidR="002B0B09" w:rsidRPr="00CC51E2" w:rsidTr="00315613">
        <w:tc>
          <w:tcPr>
            <w:tcW w:w="2311" w:type="pct"/>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lastRenderedPageBreak/>
              <w:drawing>
                <wp:inline distT="0" distB="0" distL="0" distR="0" wp14:anchorId="546BA9E1" wp14:editId="4160FC6C">
                  <wp:extent cx="2689225" cy="1743075"/>
                  <wp:effectExtent l="0" t="0" r="0" b="9525"/>
                  <wp:docPr id="467" name="Imagen 467" descr="C:\Users\mfnarvaez\AppData\Local\Microsoft\Windows\INetCache\Content.Word\Compo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fnarvaez\AppData\Local\Microsoft\Windows\INetCache\Content.Word\Compostel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4246" cy="1746329"/>
                          </a:xfrm>
                          <a:prstGeom prst="rect">
                            <a:avLst/>
                          </a:prstGeom>
                          <a:noFill/>
                          <a:ln>
                            <a:noFill/>
                          </a:ln>
                        </pic:spPr>
                      </pic:pic>
                    </a:graphicData>
                  </a:graphic>
                </wp:inline>
              </w:drawing>
            </w:r>
          </w:p>
        </w:tc>
        <w:tc>
          <w:tcPr>
            <w:tcW w:w="2689"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40C0935A" wp14:editId="36E1AE8D">
                  <wp:extent cx="3105150" cy="1733550"/>
                  <wp:effectExtent l="0" t="0" r="0" b="0"/>
                  <wp:docPr id="468" name="Imagen 468" descr="C:\Users\mfnarvaez\AppData\Local\Microsoft\Windows\INetCache\Content.Word\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fnarvaez\AppData\Local\Microsoft\Windows\INetCache\Content.Word\foto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7863" cy="1740647"/>
                          </a:xfrm>
                          <a:prstGeom prst="rect">
                            <a:avLst/>
                          </a:prstGeom>
                          <a:noFill/>
                          <a:ln>
                            <a:noFill/>
                          </a:ln>
                        </pic:spPr>
                      </pic:pic>
                    </a:graphicData>
                  </a:graphic>
                </wp:inline>
              </w:drawing>
            </w:r>
          </w:p>
        </w:tc>
      </w:tr>
      <w:tr w:rsidR="002B0B09" w:rsidRPr="00CC51E2" w:rsidTr="00315613">
        <w:trPr>
          <w:trHeight w:val="438"/>
        </w:trPr>
        <w:tc>
          <w:tcPr>
            <w:tcW w:w="5000" w:type="pct"/>
            <w:gridSpan w:val="2"/>
            <w:shd w:val="clear" w:color="auto" w:fill="auto"/>
            <w:vAlign w:val="center"/>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3 segmentos viales en el barrio Compostela de la localidad Usme.</w:t>
            </w:r>
          </w:p>
        </w:tc>
      </w:tr>
    </w:tbl>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483"/>
        <w:gridCol w:w="4876"/>
      </w:tblGrid>
      <w:tr w:rsidR="002B0B09" w:rsidRPr="00CC51E2" w:rsidTr="00315613">
        <w:tc>
          <w:tcPr>
            <w:tcW w:w="2395"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0AF21C4F" wp14:editId="0534C850">
                  <wp:extent cx="2679700" cy="1695450"/>
                  <wp:effectExtent l="0" t="0" r="6350" b="0"/>
                  <wp:docPr id="475" name="Imagen 475" descr="C:\Users\mfnarvaez\AppData\Local\Microsoft\Windows\INetCache\Content.Word\20170727_09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fnarvaez\AppData\Local\Microsoft\Windows\INetCache\Content.Word\20170727_0909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0459" cy="1695930"/>
                          </a:xfrm>
                          <a:prstGeom prst="rect">
                            <a:avLst/>
                          </a:prstGeom>
                          <a:noFill/>
                          <a:ln>
                            <a:noFill/>
                          </a:ln>
                        </pic:spPr>
                      </pic:pic>
                    </a:graphicData>
                  </a:graphic>
                </wp:inline>
              </w:drawing>
            </w:r>
          </w:p>
        </w:tc>
        <w:tc>
          <w:tcPr>
            <w:tcW w:w="2605"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54F54EB9" wp14:editId="61D9E8BF">
                  <wp:extent cx="2924810" cy="1676400"/>
                  <wp:effectExtent l="0" t="0" r="8890" b="0"/>
                  <wp:docPr id="473" name="Imagen 473" descr="C:\Users\mfnarvaez\AppData\Local\Microsoft\Windows\INetCache\Content.Word\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fnarvaez\AppData\Local\Microsoft\Windows\INetCache\Content.Word\foto 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2396" cy="1709406"/>
                          </a:xfrm>
                          <a:prstGeom prst="rect">
                            <a:avLst/>
                          </a:prstGeom>
                          <a:noFill/>
                          <a:ln>
                            <a:noFill/>
                          </a:ln>
                        </pic:spPr>
                      </pic:pic>
                    </a:graphicData>
                  </a:graphic>
                </wp:inline>
              </w:drawing>
            </w:r>
          </w:p>
        </w:tc>
      </w:tr>
      <w:tr w:rsidR="002B0B09" w:rsidRPr="00CC51E2" w:rsidTr="00315613">
        <w:tc>
          <w:tcPr>
            <w:tcW w:w="5000" w:type="pct"/>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13 segmentos viales en el barrio Caracolí de la localidad de Ciudad Bolívar.</w:t>
            </w:r>
          </w:p>
        </w:tc>
      </w:tr>
    </w:tbl>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566"/>
        <w:gridCol w:w="4793"/>
      </w:tblGrid>
      <w:tr w:rsidR="002B0B09" w:rsidRPr="00CC51E2" w:rsidTr="00315613">
        <w:tc>
          <w:tcPr>
            <w:tcW w:w="2338" w:type="pct"/>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inline distT="0" distB="0" distL="0" distR="0" wp14:anchorId="7FC2C38C" wp14:editId="6DD4BBBB">
                  <wp:extent cx="2752725" cy="1676400"/>
                  <wp:effectExtent l="0" t="0" r="9525" b="0"/>
                  <wp:docPr id="42" name="Imagen 42" descr="C:\Users\mfnarvaez\AppData\Local\Microsoft\Windows\INetCache\Content.Word\San Cristó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fnarvaez\AppData\Local\Microsoft\Windows\INetCache\Content.Word\San Cristóba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7349" cy="1679216"/>
                          </a:xfrm>
                          <a:prstGeom prst="rect">
                            <a:avLst/>
                          </a:prstGeom>
                          <a:noFill/>
                          <a:ln>
                            <a:noFill/>
                          </a:ln>
                        </pic:spPr>
                      </pic:pic>
                    </a:graphicData>
                  </a:graphic>
                </wp:inline>
              </w:drawing>
            </w:r>
          </w:p>
        </w:tc>
        <w:tc>
          <w:tcPr>
            <w:tcW w:w="2662"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b/>
                <w:noProof/>
                <w:sz w:val="20"/>
                <w:szCs w:val="20"/>
                <w:lang w:val="es-ES" w:eastAsia="es-ES"/>
              </w:rPr>
              <w:drawing>
                <wp:inline distT="0" distB="0" distL="0" distR="0" wp14:anchorId="1532E81A" wp14:editId="5CFEE7F6">
                  <wp:extent cx="2884170" cy="166687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4170" cy="1666875"/>
                          </a:xfrm>
                          <a:prstGeom prst="rect">
                            <a:avLst/>
                          </a:prstGeom>
                          <a:noFill/>
                        </pic:spPr>
                      </pic:pic>
                    </a:graphicData>
                  </a:graphic>
                </wp:inline>
              </w:drawing>
            </w:r>
          </w:p>
        </w:tc>
      </w:tr>
      <w:tr w:rsidR="002B0B09" w:rsidRPr="00CC51E2" w:rsidTr="00315613">
        <w:tc>
          <w:tcPr>
            <w:tcW w:w="5000" w:type="pct"/>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11 segmentos viales en la localidad de San Cristóbal.</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sectPr w:rsidR="002B0B09" w:rsidRPr="00CC51E2" w:rsidSect="00315613">
          <w:headerReference w:type="default" r:id="rId43"/>
          <w:footerReference w:type="default" r:id="rId44"/>
          <w:pgSz w:w="12240" w:h="15840" w:code="1"/>
          <w:pgMar w:top="2552" w:right="1134" w:bottom="1843" w:left="1701" w:header="709" w:footer="0" w:gutter="0"/>
          <w:cols w:space="708"/>
          <w:docGrid w:linePitch="360"/>
        </w:sect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Ejecución del presupuesto</w:t>
      </w:r>
    </w:p>
    <w:p w:rsidR="002B0B09" w:rsidRPr="00CC51E2" w:rsidRDefault="002B0B09" w:rsidP="002B0B09">
      <w:pPr>
        <w:spacing w:after="0"/>
        <w:ind w:left="36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La eficiencia en la ejecución de los recursos programados en las vigencias 2016 y 2017, se representa de manera ejecutiva según la ejecución del presupuesto disponible por concepto de gasto:</w:t>
      </w:r>
    </w:p>
    <w:p w:rsidR="002B0B09" w:rsidRPr="00CC51E2" w:rsidRDefault="002B0B09" w:rsidP="002B0B09">
      <w:pPr>
        <w:spacing w:after="0"/>
        <w:ind w:left="360"/>
        <w:jc w:val="both"/>
        <w:rPr>
          <w:rFonts w:ascii="Arial" w:eastAsia="Times New Roman" w:hAnsi="Arial" w:cs="Arial"/>
          <w:sz w:val="20"/>
          <w:szCs w:val="20"/>
          <w:lang w:eastAsia="es-CO"/>
        </w:rPr>
      </w:pPr>
    </w:p>
    <w:tbl>
      <w:tblPr>
        <w:tblW w:w="5000" w:type="pct"/>
        <w:jc w:val="center"/>
        <w:tblCellMar>
          <w:left w:w="70" w:type="dxa"/>
          <w:right w:w="70" w:type="dxa"/>
        </w:tblCellMar>
        <w:tblLook w:val="04A0" w:firstRow="1" w:lastRow="0" w:firstColumn="1" w:lastColumn="0" w:noHBand="0" w:noVBand="1"/>
      </w:tblPr>
      <w:tblGrid>
        <w:gridCol w:w="2789"/>
        <w:gridCol w:w="2014"/>
        <w:gridCol w:w="1880"/>
        <w:gridCol w:w="1880"/>
        <w:gridCol w:w="1977"/>
        <w:gridCol w:w="1878"/>
      </w:tblGrid>
      <w:tr w:rsidR="002B0B09" w:rsidRPr="00CC51E2" w:rsidTr="00315613">
        <w:trPr>
          <w:trHeight w:val="433"/>
          <w:jc w:val="center"/>
        </w:trPr>
        <w:tc>
          <w:tcPr>
            <w:tcW w:w="5000" w:type="pct"/>
            <w:gridSpan w:val="6"/>
            <w:tcBorders>
              <w:top w:val="single" w:sz="8" w:space="0" w:color="auto"/>
              <w:left w:val="single" w:sz="8" w:space="0" w:color="auto"/>
              <w:bottom w:val="single" w:sz="8" w:space="0" w:color="000000"/>
              <w:right w:val="single" w:sz="8" w:space="0" w:color="000000"/>
            </w:tcBorders>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Bogotá Mejor Para Todos - Vigencia Segundo Semestre 2016</w:t>
            </w:r>
          </w:p>
        </w:tc>
      </w:tr>
      <w:tr w:rsidR="002B0B09" w:rsidRPr="00CC51E2" w:rsidTr="00315613">
        <w:trPr>
          <w:trHeight w:val="20"/>
          <w:jc w:val="center"/>
        </w:trPr>
        <w:tc>
          <w:tcPr>
            <w:tcW w:w="1123" w:type="pct"/>
            <w:tcBorders>
              <w:top w:val="nil"/>
              <w:left w:val="single" w:sz="8" w:space="0" w:color="auto"/>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Tipo de gasto</w:t>
            </w:r>
          </w:p>
        </w:tc>
        <w:tc>
          <w:tcPr>
            <w:tcW w:w="811"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Apropiación Disponible</w:t>
            </w:r>
          </w:p>
        </w:tc>
        <w:tc>
          <w:tcPr>
            <w:tcW w:w="757"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Compromisos totales</w:t>
            </w:r>
          </w:p>
        </w:tc>
        <w:tc>
          <w:tcPr>
            <w:tcW w:w="757"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Ejecutado</w:t>
            </w:r>
          </w:p>
        </w:tc>
        <w:tc>
          <w:tcPr>
            <w:tcW w:w="796"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Saldo Apropiación Disponible</w:t>
            </w:r>
          </w:p>
        </w:tc>
        <w:tc>
          <w:tcPr>
            <w:tcW w:w="756"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Sin ejecutar</w:t>
            </w:r>
          </w:p>
        </w:tc>
      </w:tr>
      <w:tr w:rsidR="002B0B09" w:rsidRPr="00CC51E2" w:rsidTr="00315613">
        <w:trPr>
          <w:trHeight w:val="20"/>
          <w:jc w:val="center"/>
        </w:trPr>
        <w:tc>
          <w:tcPr>
            <w:tcW w:w="1123" w:type="pct"/>
            <w:tcBorders>
              <w:top w:val="nil"/>
              <w:left w:val="single" w:sz="8" w:space="0" w:color="auto"/>
              <w:bottom w:val="single" w:sz="4" w:space="0" w:color="auto"/>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01-Infraestructura</w:t>
            </w:r>
          </w:p>
        </w:tc>
        <w:tc>
          <w:tcPr>
            <w:tcW w:w="811"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$ 8.871.297.406</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$ 8.677.186.585</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97,81%</w:t>
            </w:r>
          </w:p>
        </w:tc>
        <w:tc>
          <w:tcPr>
            <w:tcW w:w="79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$ 194.110.821</w:t>
            </w:r>
          </w:p>
        </w:tc>
        <w:tc>
          <w:tcPr>
            <w:tcW w:w="75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2,19%</w:t>
            </w:r>
          </w:p>
        </w:tc>
      </w:tr>
      <w:tr w:rsidR="002B0B09" w:rsidRPr="00CC51E2" w:rsidTr="00315613">
        <w:trPr>
          <w:trHeight w:val="20"/>
          <w:jc w:val="center"/>
        </w:trPr>
        <w:tc>
          <w:tcPr>
            <w:tcW w:w="1123" w:type="pct"/>
            <w:tcBorders>
              <w:top w:val="nil"/>
              <w:left w:val="single" w:sz="8" w:space="0" w:color="auto"/>
              <w:bottom w:val="single" w:sz="4" w:space="0" w:color="auto"/>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02-Dotación</w:t>
            </w:r>
          </w:p>
        </w:tc>
        <w:tc>
          <w:tcPr>
            <w:tcW w:w="811"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$ 165.967.130</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$ 165.902.833</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99,96%</w:t>
            </w:r>
          </w:p>
        </w:tc>
        <w:tc>
          <w:tcPr>
            <w:tcW w:w="79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$ 64.297</w:t>
            </w:r>
          </w:p>
        </w:tc>
        <w:tc>
          <w:tcPr>
            <w:tcW w:w="75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0,04%</w:t>
            </w:r>
          </w:p>
        </w:tc>
      </w:tr>
      <w:tr w:rsidR="002B0B09" w:rsidRPr="00CC51E2" w:rsidTr="00315613">
        <w:trPr>
          <w:trHeight w:val="20"/>
          <w:jc w:val="center"/>
        </w:trPr>
        <w:tc>
          <w:tcPr>
            <w:tcW w:w="1123" w:type="pct"/>
            <w:tcBorders>
              <w:top w:val="nil"/>
              <w:left w:val="single" w:sz="8" w:space="0" w:color="auto"/>
              <w:bottom w:val="nil"/>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03-Recurso Humano</w:t>
            </w:r>
          </w:p>
        </w:tc>
        <w:tc>
          <w:tcPr>
            <w:tcW w:w="811"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$ 505.000.000</w:t>
            </w:r>
          </w:p>
        </w:tc>
        <w:tc>
          <w:tcPr>
            <w:tcW w:w="757"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$ 493.279.234</w:t>
            </w:r>
          </w:p>
        </w:tc>
        <w:tc>
          <w:tcPr>
            <w:tcW w:w="757"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97,68%</w:t>
            </w:r>
          </w:p>
        </w:tc>
        <w:tc>
          <w:tcPr>
            <w:tcW w:w="796"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$ 11.720.766</w:t>
            </w:r>
          </w:p>
        </w:tc>
        <w:tc>
          <w:tcPr>
            <w:tcW w:w="756"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2,32%</w:t>
            </w:r>
          </w:p>
        </w:tc>
      </w:tr>
      <w:tr w:rsidR="002B0B09" w:rsidRPr="00CC51E2" w:rsidTr="00315613">
        <w:trPr>
          <w:trHeight w:val="20"/>
          <w:jc w:val="center"/>
        </w:trPr>
        <w:tc>
          <w:tcPr>
            <w:tcW w:w="11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TOTALES EN PESOS $</w:t>
            </w:r>
          </w:p>
        </w:tc>
        <w:tc>
          <w:tcPr>
            <w:tcW w:w="811"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$ 9.542.264.536</w:t>
            </w:r>
          </w:p>
        </w:tc>
        <w:tc>
          <w:tcPr>
            <w:tcW w:w="757"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$ 9.336.368.652</w:t>
            </w:r>
          </w:p>
        </w:tc>
        <w:tc>
          <w:tcPr>
            <w:tcW w:w="757"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97,84%</w:t>
            </w:r>
          </w:p>
        </w:tc>
        <w:tc>
          <w:tcPr>
            <w:tcW w:w="796"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$ 205.895.884</w:t>
            </w:r>
          </w:p>
        </w:tc>
        <w:tc>
          <w:tcPr>
            <w:tcW w:w="756"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2,16%</w:t>
            </w:r>
          </w:p>
        </w:tc>
      </w:tr>
    </w:tbl>
    <w:p w:rsidR="002B0B09" w:rsidRPr="00CC51E2" w:rsidRDefault="002B0B09" w:rsidP="002B0B09">
      <w:pPr>
        <w:pStyle w:val="Prrafodelista"/>
        <w:spacing w:after="0"/>
        <w:ind w:left="0"/>
        <w:rPr>
          <w:rFonts w:ascii="Arial" w:hAnsi="Arial" w:cs="Arial"/>
          <w:sz w:val="20"/>
          <w:szCs w:val="20"/>
        </w:rPr>
      </w:pPr>
    </w:p>
    <w:p w:rsidR="002B0B09" w:rsidRPr="00CC51E2" w:rsidRDefault="002B0B09" w:rsidP="002B0B09">
      <w:pPr>
        <w:spacing w:after="0" w:line="36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3A15C340" wp14:editId="6FF043E4">
            <wp:extent cx="5972175" cy="2495550"/>
            <wp:effectExtent l="57150" t="38100" r="47625" b="76200"/>
            <wp:docPr id="48" name="Gráfico 48">
              <a:extLst xmlns:a="http://schemas.openxmlformats.org/drawingml/2006/main">
                <a:ext uri="{FF2B5EF4-FFF2-40B4-BE49-F238E27FC236}">
                  <a16:creationId xmlns:a16="http://schemas.microsoft.com/office/drawing/2014/main" id="{6C5BFB49-3B5D-40E2-8757-F021A669B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B0B09" w:rsidRPr="00CC51E2" w:rsidRDefault="002B0B09" w:rsidP="002B0B09">
      <w:pPr>
        <w:pStyle w:val="Prrafodelista"/>
        <w:spacing w:after="0"/>
        <w:rPr>
          <w:rFonts w:ascii="Arial" w:hAnsi="Arial" w:cs="Arial"/>
          <w:sz w:val="20"/>
          <w:szCs w:val="20"/>
        </w:rPr>
      </w:pPr>
    </w:p>
    <w:p w:rsidR="002B0B09" w:rsidRPr="00CC51E2" w:rsidRDefault="002B0B09" w:rsidP="002B0B09">
      <w:pPr>
        <w:spacing w:after="0" w:line="360" w:lineRule="auto"/>
        <w:jc w:val="both"/>
        <w:rPr>
          <w:rFonts w:ascii="Arial" w:hAnsi="Arial" w:cs="Arial"/>
          <w:sz w:val="20"/>
          <w:szCs w:val="20"/>
        </w:rPr>
      </w:pPr>
    </w:p>
    <w:p w:rsidR="002B0B09" w:rsidRPr="00CC51E2" w:rsidRDefault="002B0B09" w:rsidP="002B0B09">
      <w:pPr>
        <w:spacing w:after="0" w:line="360" w:lineRule="auto"/>
        <w:jc w:val="both"/>
        <w:rPr>
          <w:rFonts w:ascii="Arial" w:hAnsi="Arial" w:cs="Arial"/>
          <w:sz w:val="20"/>
          <w:szCs w:val="20"/>
        </w:rPr>
      </w:pPr>
    </w:p>
    <w:tbl>
      <w:tblPr>
        <w:tblW w:w="5000" w:type="pct"/>
        <w:tblCellMar>
          <w:left w:w="70" w:type="dxa"/>
          <w:right w:w="70" w:type="dxa"/>
        </w:tblCellMar>
        <w:tblLook w:val="04A0" w:firstRow="1" w:lastRow="0" w:firstColumn="1" w:lastColumn="0" w:noHBand="0" w:noVBand="1"/>
      </w:tblPr>
      <w:tblGrid>
        <w:gridCol w:w="2406"/>
        <w:gridCol w:w="1738"/>
        <w:gridCol w:w="1622"/>
        <w:gridCol w:w="1622"/>
        <w:gridCol w:w="1704"/>
        <w:gridCol w:w="1622"/>
        <w:gridCol w:w="1704"/>
      </w:tblGrid>
      <w:tr w:rsidR="00BD4DF1" w:rsidRPr="009E104E" w:rsidTr="006E635E">
        <w:trPr>
          <w:trHeight w:val="450"/>
        </w:trPr>
        <w:tc>
          <w:tcPr>
            <w:tcW w:w="5000" w:type="pct"/>
            <w:gridSpan w:val="7"/>
            <w:tcBorders>
              <w:top w:val="single" w:sz="8" w:space="0" w:color="auto"/>
              <w:left w:val="single" w:sz="8" w:space="0" w:color="auto"/>
              <w:bottom w:val="single" w:sz="8" w:space="0" w:color="000000"/>
              <w:right w:val="single" w:sz="8" w:space="0" w:color="000000"/>
            </w:tcBorders>
            <w:vAlign w:val="center"/>
            <w:hideMark/>
          </w:tcPr>
          <w:p w:rsidR="00BD4DF1" w:rsidRPr="009E104E" w:rsidRDefault="00BD4DF1" w:rsidP="006E635E">
            <w:pPr>
              <w:spacing w:after="0" w:line="240" w:lineRule="auto"/>
              <w:jc w:val="center"/>
              <w:rPr>
                <w:rFonts w:eastAsia="Times New Roman" w:cs="Calibri"/>
                <w:b/>
                <w:bCs/>
                <w:color w:val="000000"/>
                <w:sz w:val="20"/>
                <w:szCs w:val="20"/>
                <w:lang w:eastAsia="es-CO"/>
              </w:rPr>
            </w:pPr>
            <w:r w:rsidRPr="009E104E">
              <w:rPr>
                <w:rFonts w:eastAsia="Times New Roman" w:cs="Calibri"/>
                <w:b/>
                <w:bCs/>
                <w:color w:val="000000"/>
                <w:sz w:val="20"/>
                <w:szCs w:val="20"/>
                <w:lang w:eastAsia="es-CO"/>
              </w:rPr>
              <w:lastRenderedPageBreak/>
              <w:t>Bogotá Mejor Para Todos - Vigencia 2017</w:t>
            </w:r>
          </w:p>
        </w:tc>
      </w:tr>
      <w:tr w:rsidR="00BD4DF1" w:rsidRPr="009E104E" w:rsidTr="006E635E">
        <w:trPr>
          <w:trHeight w:val="915"/>
        </w:trPr>
        <w:tc>
          <w:tcPr>
            <w:tcW w:w="969" w:type="pct"/>
            <w:tcBorders>
              <w:top w:val="nil"/>
              <w:left w:val="single" w:sz="8" w:space="0" w:color="auto"/>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Tipo de gasto</w:t>
            </w:r>
          </w:p>
        </w:tc>
        <w:tc>
          <w:tcPr>
            <w:tcW w:w="700"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Apropiación Disponible</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Compromisos totales</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Ejecutado</w:t>
            </w:r>
          </w:p>
        </w:tc>
        <w:tc>
          <w:tcPr>
            <w:tcW w:w="686"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CDP por Comprometer</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Saldo Apropiación Disponible</w:t>
            </w:r>
          </w:p>
        </w:tc>
        <w:tc>
          <w:tcPr>
            <w:tcW w:w="686"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Sin ejecutar</w:t>
            </w:r>
          </w:p>
        </w:tc>
      </w:tr>
      <w:tr w:rsidR="00BD4DF1" w:rsidRPr="009E104E" w:rsidTr="006E635E">
        <w:trPr>
          <w:trHeight w:val="300"/>
        </w:trPr>
        <w:tc>
          <w:tcPr>
            <w:tcW w:w="969" w:type="pct"/>
            <w:tcBorders>
              <w:top w:val="nil"/>
              <w:left w:val="single" w:sz="8" w:space="0" w:color="auto"/>
              <w:bottom w:val="single" w:sz="4"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01-Infraestructura</w:t>
            </w:r>
          </w:p>
        </w:tc>
        <w:tc>
          <w:tcPr>
            <w:tcW w:w="700"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$ 10.282.716.401</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$ 2.397.669.253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23,32%</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$ 6.327.441.543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$ 1.557.605.605</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15,15%</w:t>
            </w:r>
          </w:p>
        </w:tc>
      </w:tr>
      <w:tr w:rsidR="00BD4DF1" w:rsidRPr="009E104E" w:rsidTr="006E635E">
        <w:trPr>
          <w:trHeight w:val="300"/>
        </w:trPr>
        <w:tc>
          <w:tcPr>
            <w:tcW w:w="969" w:type="pct"/>
            <w:tcBorders>
              <w:top w:val="nil"/>
              <w:left w:val="single" w:sz="8" w:space="0" w:color="auto"/>
              <w:bottom w:val="single" w:sz="4"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02-Dotación</w:t>
            </w:r>
          </w:p>
        </w:tc>
        <w:tc>
          <w:tcPr>
            <w:tcW w:w="700"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$ 128.333.000</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$ 100.252.448</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78,12%</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23.362.243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4</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718</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309</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6</w:t>
            </w:r>
            <w:r w:rsidRPr="009E104E">
              <w:rPr>
                <w:rFonts w:ascii="Arial" w:eastAsia="Times New Roman" w:hAnsi="Arial" w:cs="Arial"/>
                <w:color w:val="000000"/>
                <w:sz w:val="20"/>
                <w:szCs w:val="20"/>
                <w:lang w:eastAsia="es-CO"/>
              </w:rPr>
              <w:t>8%</w:t>
            </w:r>
          </w:p>
        </w:tc>
      </w:tr>
      <w:tr w:rsidR="00BD4DF1" w:rsidRPr="009E104E" w:rsidTr="006E635E">
        <w:trPr>
          <w:trHeight w:val="315"/>
        </w:trPr>
        <w:tc>
          <w:tcPr>
            <w:tcW w:w="969" w:type="pct"/>
            <w:tcBorders>
              <w:top w:val="nil"/>
              <w:left w:val="single" w:sz="8" w:space="0" w:color="auto"/>
              <w:bottom w:val="single" w:sz="8"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03-Recurso Humano</w:t>
            </w:r>
          </w:p>
        </w:tc>
        <w:tc>
          <w:tcPr>
            <w:tcW w:w="700"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$ 2.122.660.000</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$ 1.883.648.633</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86,38</w:t>
            </w:r>
            <w:r w:rsidRPr="009E104E">
              <w:rPr>
                <w:rFonts w:ascii="Arial" w:eastAsia="Times New Roman" w:hAnsi="Arial" w:cs="Arial"/>
                <w:color w:val="000000"/>
                <w:sz w:val="20"/>
                <w:szCs w:val="20"/>
                <w:lang w:eastAsia="es-CO"/>
              </w:rPr>
              <w:t>%</w:t>
            </w:r>
          </w:p>
        </w:tc>
        <w:tc>
          <w:tcPr>
            <w:tcW w:w="686"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$ 188.308.591</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100</w:t>
            </w:r>
            <w:r w:rsidRPr="009E104E">
              <w:rPr>
                <w:rFonts w:ascii="Arial" w:eastAsia="Times New Roman" w:hAnsi="Arial" w:cs="Arial"/>
                <w:color w:val="000000"/>
                <w:sz w:val="20"/>
                <w:szCs w:val="20"/>
                <w:lang w:eastAsia="es-CO"/>
              </w:rPr>
              <w:t>.702.776</w:t>
            </w:r>
          </w:p>
        </w:tc>
        <w:tc>
          <w:tcPr>
            <w:tcW w:w="686" w:type="pct"/>
            <w:tcBorders>
              <w:top w:val="nil"/>
              <w:left w:val="nil"/>
              <w:bottom w:val="nil"/>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4</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74</w:t>
            </w:r>
            <w:r w:rsidRPr="009E104E">
              <w:rPr>
                <w:rFonts w:ascii="Arial" w:eastAsia="Times New Roman" w:hAnsi="Arial" w:cs="Arial"/>
                <w:color w:val="000000"/>
                <w:sz w:val="20"/>
                <w:szCs w:val="20"/>
                <w:lang w:eastAsia="es-CO"/>
              </w:rPr>
              <w:t>%</w:t>
            </w:r>
          </w:p>
        </w:tc>
      </w:tr>
      <w:tr w:rsidR="00BD4DF1" w:rsidRPr="009E104E" w:rsidTr="006E635E">
        <w:trPr>
          <w:trHeight w:val="345"/>
        </w:trPr>
        <w:tc>
          <w:tcPr>
            <w:tcW w:w="969" w:type="pct"/>
            <w:tcBorders>
              <w:top w:val="nil"/>
              <w:left w:val="single" w:sz="8" w:space="0" w:color="auto"/>
              <w:bottom w:val="single" w:sz="8" w:space="0" w:color="auto"/>
              <w:right w:val="single" w:sz="4" w:space="0" w:color="auto"/>
            </w:tcBorders>
            <w:shd w:val="clear" w:color="auto" w:fill="auto"/>
            <w:vAlign w:val="bottom"/>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TOTALES EN PESOS $</w:t>
            </w:r>
          </w:p>
        </w:tc>
        <w:tc>
          <w:tcPr>
            <w:tcW w:w="700" w:type="pct"/>
            <w:tcBorders>
              <w:top w:val="nil"/>
              <w:left w:val="nil"/>
              <w:bottom w:val="single" w:sz="8" w:space="0" w:color="auto"/>
              <w:right w:val="single" w:sz="8" w:space="0" w:color="auto"/>
            </w:tcBorders>
            <w:shd w:val="clear" w:color="auto" w:fill="auto"/>
            <w:vAlign w:val="bottom"/>
            <w:hideMark/>
          </w:tcPr>
          <w:p w:rsidR="00BD4DF1" w:rsidRPr="009E104E" w:rsidRDefault="00BD4DF1" w:rsidP="006E635E">
            <w:pPr>
              <w:spacing w:after="0" w:line="240" w:lineRule="auto"/>
              <w:jc w:val="right"/>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$ 12.533.709.401</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$ 4.3</w:t>
            </w:r>
            <w:r>
              <w:rPr>
                <w:rFonts w:ascii="Arial" w:eastAsia="Times New Roman" w:hAnsi="Arial" w:cs="Arial"/>
                <w:b/>
                <w:bCs/>
                <w:color w:val="000000"/>
                <w:sz w:val="20"/>
                <w:szCs w:val="20"/>
                <w:lang w:eastAsia="es-CO"/>
              </w:rPr>
              <w:t>3</w:t>
            </w:r>
            <w:r w:rsidRPr="000D4CBF">
              <w:rPr>
                <w:rFonts w:ascii="Arial" w:eastAsia="Times New Roman" w:hAnsi="Arial" w:cs="Arial"/>
                <w:b/>
                <w:bCs/>
                <w:color w:val="000000"/>
                <w:sz w:val="20"/>
                <w:szCs w:val="20"/>
                <w:lang w:eastAsia="es-CO"/>
              </w:rPr>
              <w:t>1.570.334</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center"/>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34,56%</w:t>
            </w:r>
          </w:p>
        </w:tc>
        <w:tc>
          <w:tcPr>
            <w:tcW w:w="686"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$ 6.539.112.377</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$ 1.663.026.690</w:t>
            </w:r>
          </w:p>
        </w:tc>
        <w:tc>
          <w:tcPr>
            <w:tcW w:w="686" w:type="pct"/>
            <w:tcBorders>
              <w:top w:val="single" w:sz="8" w:space="0" w:color="auto"/>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center"/>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13,27%</w:t>
            </w:r>
          </w:p>
        </w:tc>
      </w:tr>
    </w:tbl>
    <w:p w:rsidR="00BD4DF1" w:rsidRDefault="00BD4DF1" w:rsidP="002B0B09">
      <w:pPr>
        <w:tabs>
          <w:tab w:val="left" w:pos="870"/>
        </w:tabs>
        <w:jc w:val="center"/>
        <w:rPr>
          <w:rFonts w:ascii="Arial" w:eastAsia="Times New Roman" w:hAnsi="Arial" w:cs="Arial"/>
          <w:b/>
          <w:sz w:val="20"/>
          <w:szCs w:val="20"/>
          <w:lang w:eastAsia="es-CO"/>
        </w:rPr>
      </w:pPr>
    </w:p>
    <w:p w:rsidR="002B0B09" w:rsidRPr="00CC51E2" w:rsidRDefault="002B0B09" w:rsidP="002B0B09">
      <w:pPr>
        <w:tabs>
          <w:tab w:val="left" w:pos="870"/>
        </w:tabs>
        <w:jc w:val="center"/>
        <w:rPr>
          <w:rFonts w:ascii="Arial" w:eastAsia="Times New Roman" w:hAnsi="Arial" w:cs="Arial"/>
          <w:b/>
          <w:sz w:val="20"/>
          <w:szCs w:val="20"/>
          <w:lang w:eastAsia="es-CO"/>
        </w:rPr>
        <w:sectPr w:rsidR="002B0B09" w:rsidRPr="00CC51E2" w:rsidSect="00315613">
          <w:headerReference w:type="default" r:id="rId46"/>
          <w:footerReference w:type="default" r:id="rId47"/>
          <w:pgSz w:w="15840" w:h="12240" w:orient="landscape" w:code="1"/>
          <w:pgMar w:top="1701" w:right="2268" w:bottom="1134" w:left="1134" w:header="708" w:footer="708" w:gutter="0"/>
          <w:cols w:space="708"/>
          <w:docGrid w:linePitch="360"/>
        </w:sectPr>
      </w:pPr>
      <w:r w:rsidRPr="00CC51E2">
        <w:rPr>
          <w:rFonts w:ascii="Arial" w:hAnsi="Arial" w:cs="Arial"/>
          <w:noProof/>
          <w:sz w:val="20"/>
          <w:szCs w:val="20"/>
          <w:lang w:val="es-ES" w:eastAsia="es-ES"/>
        </w:rPr>
        <w:drawing>
          <wp:inline distT="0" distB="0" distL="0" distR="0" wp14:anchorId="6F697344" wp14:editId="3B77F835">
            <wp:extent cx="5972175" cy="2636322"/>
            <wp:effectExtent l="57150" t="38100" r="47625" b="69215"/>
            <wp:docPr id="460" name="Gráfico 460">
              <a:extLst xmlns:a="http://schemas.openxmlformats.org/drawingml/2006/main">
                <a:ext uri="{FF2B5EF4-FFF2-40B4-BE49-F238E27FC236}">
                  <a16:creationId xmlns:a16="http://schemas.microsoft.com/office/drawing/2014/main" id="{567BEBCE-7020-41C7-B4E9-B690C7ADF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B0B09" w:rsidRPr="00CC51E2" w:rsidRDefault="002B0B09" w:rsidP="0057468E">
      <w:pPr>
        <w:pStyle w:val="Prrafodelista"/>
        <w:numPr>
          <w:ilvl w:val="0"/>
          <w:numId w:val="17"/>
        </w:numPr>
        <w:spacing w:before="100" w:beforeAutospacing="1" w:after="0"/>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Información sobre la contratación realizada (bienes y servicios)</w:t>
      </w:r>
    </w:p>
    <w:p w:rsidR="002B0B09" w:rsidRPr="00CC51E2" w:rsidRDefault="002B0B09" w:rsidP="002B0B09">
      <w:pPr>
        <w:pStyle w:val="Prrafodelista"/>
        <w:spacing w:before="100" w:beforeAutospacing="1" w:after="0"/>
        <w:jc w:val="both"/>
        <w:rPr>
          <w:rFonts w:ascii="Arial" w:eastAsia="Times New Roman" w:hAnsi="Arial" w:cs="Arial"/>
          <w:b/>
          <w:sz w:val="20"/>
          <w:szCs w:val="20"/>
          <w:lang w:eastAsia="es-CO"/>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Con una fuerte labor realizada por el equipo de trabajo de la Dirección de Mejoramiento de Barrios en los estudios previos a la contratación, iniciando con los análisis de mercado y de riesgos, se proyectaron los pliegos y condiciones, y anexos Técnico, de Seguridad, Salud en el Trabajo y Medio Ambiente (SST-MA), y Social, para las siguientes licitaciones públicas: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de licitación CVP LP 006 de 2017 – Salones por 10.</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 xml:space="preserve">Se evaluaron 90 ofertas del proceso, Reparaciones locativas a salones comunales. </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4"/>
        <w:gridCol w:w="2227"/>
        <w:gridCol w:w="3534"/>
      </w:tblGrid>
      <w:tr w:rsidR="002B0B09" w:rsidRPr="00CC51E2" w:rsidTr="00315613">
        <w:trPr>
          <w:trHeight w:val="290"/>
          <w:jc w:val="center"/>
        </w:trPr>
        <w:tc>
          <w:tcPr>
            <w:tcW w:w="193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85"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8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28"/>
          <w:jc w:val="center"/>
        </w:trPr>
        <w:tc>
          <w:tcPr>
            <w:tcW w:w="1934" w:type="pct"/>
            <w:shd w:val="clear" w:color="auto" w:fill="auto"/>
            <w:noWrap/>
            <w:vAlign w:val="center"/>
            <w:hideMark/>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Reparaciones locativas salones.</w:t>
            </w:r>
          </w:p>
        </w:tc>
        <w:tc>
          <w:tcPr>
            <w:tcW w:w="1185"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25 agosto 2017</w:t>
            </w:r>
          </w:p>
        </w:tc>
        <w:tc>
          <w:tcPr>
            <w:tcW w:w="18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Contratos de obra No. 522, 519, 518 - 2017</w:t>
            </w:r>
          </w:p>
        </w:tc>
      </w:tr>
    </w:tbl>
    <w:p w:rsidR="002B0B09" w:rsidRPr="00CC51E2" w:rsidRDefault="002B0B09" w:rsidP="002B0B09">
      <w:pPr>
        <w:jc w:val="center"/>
        <w:rPr>
          <w:rFonts w:ascii="Arial" w:hAnsi="Arial" w:cs="Arial"/>
          <w:b/>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CVP CM 002 de 2017 – Interventoría Salones por 10</w:t>
      </w:r>
    </w:p>
    <w:p w:rsidR="002B0B09" w:rsidRPr="00CC51E2" w:rsidRDefault="002B0B09" w:rsidP="002B0B09">
      <w:pPr>
        <w:spacing w:after="0"/>
        <w:rPr>
          <w:rFonts w:ascii="Arial" w:hAnsi="Arial" w:cs="Arial"/>
          <w:color w:val="000000"/>
          <w:sz w:val="20"/>
          <w:szCs w:val="20"/>
          <w:u w:val="single"/>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Se Evaluaron 19 ofertas para el proceso de interventoría.</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11"/>
        <w:gridCol w:w="1845"/>
        <w:gridCol w:w="3239"/>
      </w:tblGrid>
      <w:tr w:rsidR="002B0B09" w:rsidRPr="00CC51E2" w:rsidTr="00315613">
        <w:trPr>
          <w:trHeight w:val="290"/>
          <w:jc w:val="center"/>
        </w:trPr>
        <w:tc>
          <w:tcPr>
            <w:tcW w:w="229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9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724"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19"/>
          <w:jc w:val="center"/>
        </w:trPr>
        <w:tc>
          <w:tcPr>
            <w:tcW w:w="2294" w:type="pct"/>
            <w:shd w:val="clear" w:color="auto" w:fill="auto"/>
            <w:noWrap/>
            <w:vAlign w:val="center"/>
            <w:hideMark/>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Interventoría reparaciones locativas de salones comunales.</w:t>
            </w:r>
          </w:p>
        </w:tc>
        <w:tc>
          <w:tcPr>
            <w:tcW w:w="9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31 agosto 2017</w:t>
            </w:r>
          </w:p>
        </w:tc>
        <w:tc>
          <w:tcPr>
            <w:tcW w:w="1724"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Contrato de interventoría No. 510-2017 interventoría</w:t>
            </w:r>
          </w:p>
        </w:tc>
      </w:tr>
    </w:tbl>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de licitación CVP LP 007 de 2017 – Grupo 2, Salones por 10.</w:t>
      </w:r>
    </w:p>
    <w:p w:rsidR="002B0B09" w:rsidRPr="00CC51E2" w:rsidRDefault="002B0B09" w:rsidP="002B0B09">
      <w:pPr>
        <w:spacing w:after="0"/>
        <w:jc w:val="both"/>
        <w:rPr>
          <w:rFonts w:ascii="Arial" w:hAnsi="Arial" w:cs="Arial"/>
          <w:b/>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 xml:space="preserve">Se evaluaron 70 ofertas del proceso, Reparaciones locativas a salones comunales. </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31"/>
        <w:gridCol w:w="2454"/>
        <w:gridCol w:w="3010"/>
      </w:tblGrid>
      <w:tr w:rsidR="002B0B09" w:rsidRPr="00CC51E2" w:rsidTr="00315613">
        <w:trPr>
          <w:trHeight w:val="290"/>
          <w:jc w:val="center"/>
        </w:trPr>
        <w:tc>
          <w:tcPr>
            <w:tcW w:w="2092" w:type="pct"/>
            <w:shd w:val="clear" w:color="auto" w:fill="auto"/>
            <w:noWrap/>
            <w:vAlign w:val="bottom"/>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306" w:type="pct"/>
            <w:vAlign w:val="bottom"/>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602" w:type="pct"/>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 xml:space="preserve">Estado Actual </w:t>
            </w:r>
          </w:p>
        </w:tc>
      </w:tr>
      <w:tr w:rsidR="002B0B09" w:rsidRPr="00CC51E2" w:rsidTr="00315613">
        <w:trPr>
          <w:trHeight w:val="866"/>
          <w:jc w:val="center"/>
        </w:trPr>
        <w:tc>
          <w:tcPr>
            <w:tcW w:w="2092" w:type="pct"/>
            <w:shd w:val="clear" w:color="auto" w:fill="auto"/>
            <w:noWrap/>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Reparaciones locativas salones. 2 grupo</w:t>
            </w:r>
          </w:p>
        </w:tc>
        <w:tc>
          <w:tcPr>
            <w:tcW w:w="1306" w:type="pct"/>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Fecha de adjudicación proyectada - 9 octubre 2017</w:t>
            </w:r>
          </w:p>
        </w:tc>
        <w:tc>
          <w:tcPr>
            <w:tcW w:w="1602" w:type="pct"/>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Contratado</w:t>
            </w:r>
          </w:p>
        </w:tc>
      </w:tr>
    </w:tbl>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color w:val="000000"/>
          <w:sz w:val="20"/>
          <w:szCs w:val="20"/>
          <w:u w:val="single"/>
        </w:rPr>
      </w:pPr>
      <w:r w:rsidRPr="00CC51E2">
        <w:rPr>
          <w:rFonts w:ascii="Arial" w:hAnsi="Arial" w:cs="Arial"/>
          <w:color w:val="000000"/>
          <w:sz w:val="20"/>
          <w:szCs w:val="20"/>
          <w:u w:val="single"/>
        </w:rPr>
        <w:lastRenderedPageBreak/>
        <w:t>Proceso CVP CM 005 de 2017- Interventoría Grupo 2, Salones por 10</w:t>
      </w:r>
    </w:p>
    <w:p w:rsidR="002B0B09" w:rsidRPr="00CC51E2" w:rsidRDefault="002B0B09" w:rsidP="002B0B09">
      <w:pPr>
        <w:jc w:val="both"/>
        <w:rPr>
          <w:rFonts w:ascii="Arial" w:hAnsi="Arial" w:cs="Arial"/>
          <w:sz w:val="20"/>
          <w:szCs w:val="20"/>
        </w:rPr>
      </w:pPr>
      <w:r w:rsidRPr="00CC51E2">
        <w:rPr>
          <w:rFonts w:ascii="Arial" w:hAnsi="Arial" w:cs="Arial"/>
          <w:sz w:val="20"/>
          <w:szCs w:val="20"/>
        </w:rPr>
        <w:t>En proceso de adjudicación con 19 proponente, proyecto de adjudicación Noviembre 9 de 2017.</w:t>
      </w:r>
    </w:p>
    <w:p w:rsidR="002B0B09" w:rsidRPr="00CC51E2" w:rsidRDefault="002B0B09" w:rsidP="002B0B09">
      <w:pPr>
        <w:pStyle w:val="NormalWeb"/>
        <w:spacing w:before="0" w:after="0" w:line="276" w:lineRule="auto"/>
        <w:jc w:val="center"/>
        <w:rPr>
          <w:rFonts w:ascii="Arial" w:hAnsi="Arial" w:cs="Arial"/>
          <w:b/>
          <w:sz w:val="20"/>
        </w:rPr>
      </w:pPr>
    </w:p>
    <w:p w:rsidR="002B0B09" w:rsidRPr="00CC51E2" w:rsidRDefault="002B0B09" w:rsidP="002B0B09">
      <w:pPr>
        <w:pStyle w:val="NormalWeb"/>
        <w:spacing w:before="0" w:after="0" w:line="276" w:lineRule="auto"/>
        <w:rPr>
          <w:rFonts w:ascii="Arial" w:hAnsi="Arial" w:cs="Arial"/>
          <w:sz w:val="20"/>
          <w:u w:val="single"/>
        </w:rPr>
      </w:pPr>
      <w:r w:rsidRPr="00CC51E2">
        <w:rPr>
          <w:rFonts w:ascii="Arial" w:hAnsi="Arial" w:cs="Arial"/>
          <w:sz w:val="20"/>
          <w:u w:val="single"/>
        </w:rPr>
        <w:t>Proceso Mínima Cuantía.CVP-IPMC-008-2017</w:t>
      </w:r>
    </w:p>
    <w:p w:rsidR="002B0B09" w:rsidRPr="00CC51E2" w:rsidRDefault="002B0B09" w:rsidP="002B0B09">
      <w:pPr>
        <w:pStyle w:val="NormalWeb"/>
        <w:spacing w:before="0" w:after="0" w:line="276" w:lineRule="auto"/>
        <w:rPr>
          <w:rFonts w:ascii="Arial" w:hAnsi="Arial" w:cs="Arial"/>
          <w:b/>
          <w:sz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 xml:space="preserve">Estudio geotécnico y estructural programado para el salón comunal de la Localidad de Ciudad Bolívar, barrio Caracolí. </w:t>
      </w:r>
    </w:p>
    <w:p w:rsidR="002B0B09" w:rsidRPr="00CC51E2" w:rsidRDefault="002B0B09" w:rsidP="002B0B09">
      <w:pPr>
        <w:pStyle w:val="NormalWeb"/>
        <w:spacing w:before="0" w:after="0" w:line="276" w:lineRule="auto"/>
        <w:rPr>
          <w:rFonts w:ascii="Arial" w:hAnsi="Arial" w:cs="Arial"/>
          <w:b/>
          <w:sz w:val="20"/>
        </w:rPr>
      </w:pP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8"/>
        <w:gridCol w:w="2074"/>
        <w:gridCol w:w="2921"/>
      </w:tblGrid>
      <w:tr w:rsidR="002B0B09" w:rsidRPr="00CC51E2" w:rsidTr="00315613">
        <w:trPr>
          <w:trHeight w:val="290"/>
          <w:jc w:val="center"/>
        </w:trPr>
        <w:tc>
          <w:tcPr>
            <w:tcW w:w="2295" w:type="pct"/>
            <w:shd w:val="clear" w:color="auto" w:fill="auto"/>
            <w:noWrap/>
            <w:vAlign w:val="bottom"/>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23" w:type="pct"/>
            <w:vAlign w:val="bottom"/>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583" w:type="pct"/>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 xml:space="preserve">Estado Actual </w:t>
            </w:r>
          </w:p>
        </w:tc>
      </w:tr>
      <w:tr w:rsidR="002B0B09" w:rsidRPr="00CC51E2" w:rsidTr="00315613">
        <w:trPr>
          <w:trHeight w:val="696"/>
          <w:jc w:val="center"/>
        </w:trPr>
        <w:tc>
          <w:tcPr>
            <w:tcW w:w="2295" w:type="pct"/>
            <w:shd w:val="clear" w:color="auto" w:fill="auto"/>
            <w:noWrap/>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Mínima cuantía Estudio de suelos caracolí CVP-IPMC-008-2017</w:t>
            </w:r>
          </w:p>
        </w:tc>
        <w:tc>
          <w:tcPr>
            <w:tcW w:w="1123" w:type="pct"/>
            <w:vAlign w:val="center"/>
          </w:tcPr>
          <w:p w:rsidR="002B0B09" w:rsidRPr="00CC51E2" w:rsidRDefault="002B0B09" w:rsidP="00315613">
            <w:pPr>
              <w:jc w:val="both"/>
              <w:rPr>
                <w:rFonts w:ascii="Arial" w:hAnsi="Arial" w:cs="Arial"/>
                <w:color w:val="000000"/>
                <w:sz w:val="20"/>
                <w:szCs w:val="20"/>
              </w:rPr>
            </w:pPr>
            <w:r w:rsidRPr="00CC51E2">
              <w:rPr>
                <w:rFonts w:ascii="Arial" w:hAnsi="Arial" w:cs="Arial"/>
                <w:color w:val="000000"/>
                <w:sz w:val="20"/>
                <w:szCs w:val="20"/>
              </w:rPr>
              <w:t>25 agosto 2017</w:t>
            </w:r>
          </w:p>
        </w:tc>
        <w:tc>
          <w:tcPr>
            <w:tcW w:w="1583" w:type="pct"/>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Contrato de Estudio Geotécnico y de suelos No. 506-2017</w:t>
            </w:r>
          </w:p>
        </w:tc>
      </w:tr>
    </w:tbl>
    <w:p w:rsidR="002B0B09" w:rsidRPr="00CC51E2" w:rsidRDefault="002B0B09" w:rsidP="002B0B09">
      <w:pPr>
        <w:spacing w:after="0"/>
        <w:jc w:val="both"/>
        <w:rPr>
          <w:rFonts w:ascii="Arial" w:hAnsi="Arial" w:cs="Arial"/>
          <w:sz w:val="20"/>
          <w:szCs w:val="20"/>
          <w:highlight w:val="yellow"/>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Actualmente, se han adelantado los procesos de licitación pública CVP-LP-008-2017, adjudicada el día 12 de octubre de 2017 y CVP-LP-011-2017, publicada en el Sistema Electrónico de Contratación Pública (SECOP) el día 24 de octubre de 2017. Apoyando a la Dirección de Gestión Corporativa y CID de la Entidad, con los estudios previos a la contratación y evaluando las ofertas presentadas por los oferentes del mercado del sector.</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4"/>
        <w:gridCol w:w="2227"/>
        <w:gridCol w:w="3534"/>
      </w:tblGrid>
      <w:tr w:rsidR="002B0B09" w:rsidRPr="00CC51E2" w:rsidTr="00315613">
        <w:trPr>
          <w:trHeight w:val="290"/>
          <w:jc w:val="center"/>
        </w:trPr>
        <w:tc>
          <w:tcPr>
            <w:tcW w:w="193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85"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8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28"/>
          <w:jc w:val="center"/>
        </w:trPr>
        <w:tc>
          <w:tcPr>
            <w:tcW w:w="1934" w:type="pct"/>
            <w:shd w:val="clear" w:color="auto" w:fill="auto"/>
            <w:noWrap/>
            <w:vAlign w:val="center"/>
            <w:hideMark/>
          </w:tcPr>
          <w:p w:rsidR="002B0B09" w:rsidRPr="00CC51E2" w:rsidRDefault="002B0B09" w:rsidP="00315613">
            <w:pPr>
              <w:spacing w:after="0"/>
              <w:jc w:val="center"/>
              <w:rPr>
                <w:rFonts w:ascii="Arial" w:hAnsi="Arial" w:cs="Arial"/>
                <w:sz w:val="20"/>
                <w:szCs w:val="20"/>
              </w:rPr>
            </w:pPr>
            <w:r w:rsidRPr="00CC51E2">
              <w:rPr>
                <w:rFonts w:ascii="Arial" w:hAnsi="Arial" w:cs="Arial"/>
                <w:color w:val="000000"/>
                <w:sz w:val="20"/>
                <w:szCs w:val="20"/>
              </w:rPr>
              <w:t xml:space="preserve">LICITACION </w:t>
            </w:r>
            <w:r w:rsidRPr="00CC51E2">
              <w:rPr>
                <w:rFonts w:ascii="Arial" w:hAnsi="Arial" w:cs="Arial"/>
                <w:sz w:val="20"/>
                <w:szCs w:val="20"/>
              </w:rPr>
              <w:t>CVP-LP-008-2017</w:t>
            </w:r>
          </w:p>
          <w:p w:rsidR="002B0B09" w:rsidRPr="00CC51E2" w:rsidRDefault="002B0B09" w:rsidP="00315613">
            <w:pPr>
              <w:spacing w:after="0"/>
              <w:jc w:val="center"/>
              <w:rPr>
                <w:rFonts w:ascii="Arial" w:hAnsi="Arial" w:cs="Arial"/>
                <w:color w:val="000000"/>
                <w:sz w:val="20"/>
                <w:szCs w:val="20"/>
              </w:rPr>
            </w:pPr>
            <w:r w:rsidRPr="00CC51E2">
              <w:rPr>
                <w:rFonts w:ascii="Arial" w:hAnsi="Arial" w:cs="Arial"/>
                <w:color w:val="000000"/>
                <w:sz w:val="20"/>
                <w:szCs w:val="20"/>
              </w:rPr>
              <w:t>Tramos viales 13</w:t>
            </w:r>
          </w:p>
        </w:tc>
        <w:tc>
          <w:tcPr>
            <w:tcW w:w="1185"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sz w:val="20"/>
                <w:szCs w:val="20"/>
              </w:rPr>
              <w:t>12 de octubre de 2017</w:t>
            </w:r>
          </w:p>
        </w:tc>
        <w:tc>
          <w:tcPr>
            <w:tcW w:w="18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Se encuentran en cumplimiento de los requisitos para firmar e iniciar contratos</w:t>
            </w:r>
          </w:p>
        </w:tc>
      </w:tr>
    </w:tbl>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sectPr w:rsidR="002B0B09" w:rsidRPr="00CC51E2" w:rsidSect="00315613">
          <w:pgSz w:w="12240" w:h="15840" w:code="1"/>
          <w:pgMar w:top="2268" w:right="1134" w:bottom="1134" w:left="1701" w:header="709" w:footer="709" w:gutter="0"/>
          <w:cols w:space="708"/>
          <w:docGrid w:linePitch="360"/>
        </w:sectPr>
      </w:pPr>
    </w:p>
    <w:tbl>
      <w:tblPr>
        <w:tblW w:w="12428" w:type="dxa"/>
        <w:jc w:val="right"/>
        <w:tblCellMar>
          <w:left w:w="70" w:type="dxa"/>
          <w:right w:w="70" w:type="dxa"/>
        </w:tblCellMar>
        <w:tblLook w:val="04A0" w:firstRow="1" w:lastRow="0" w:firstColumn="1" w:lastColumn="0" w:noHBand="0" w:noVBand="1"/>
      </w:tblPr>
      <w:tblGrid>
        <w:gridCol w:w="1760"/>
        <w:gridCol w:w="9011"/>
        <w:gridCol w:w="1657"/>
      </w:tblGrid>
      <w:tr w:rsidR="002B0B09" w:rsidRPr="00CC51E2" w:rsidTr="00315613">
        <w:trPr>
          <w:trHeight w:val="70"/>
          <w:tblHeader/>
          <w:jc w:val="right"/>
        </w:trPr>
        <w:tc>
          <w:tcPr>
            <w:tcW w:w="12428"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lastRenderedPageBreak/>
              <w:t>CONTRATOS DE BIENES Y SERVICIOS (</w:t>
            </w:r>
            <w:r w:rsidRPr="00CC51E2">
              <w:rPr>
                <w:rFonts w:ascii="Arial" w:hAnsi="Arial" w:cs="Arial"/>
                <w:color w:val="000000"/>
                <w:sz w:val="20"/>
                <w:szCs w:val="20"/>
              </w:rPr>
              <w:t>134 - Mejoramiento de barrios</w:t>
            </w:r>
            <w:r w:rsidRPr="00CC51E2">
              <w:rPr>
                <w:rFonts w:ascii="Arial" w:hAnsi="Arial" w:cs="Arial"/>
                <w:b/>
                <w:bCs/>
                <w:color w:val="000000"/>
                <w:sz w:val="20"/>
                <w:szCs w:val="20"/>
              </w:rPr>
              <w:t>)</w:t>
            </w:r>
          </w:p>
        </w:tc>
      </w:tr>
      <w:tr w:rsidR="002B0B09" w:rsidRPr="00CC51E2" w:rsidTr="00315613">
        <w:trPr>
          <w:trHeight w:val="70"/>
          <w:jc w:val="right"/>
        </w:trPr>
        <w:tc>
          <w:tcPr>
            <w:tcW w:w="174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Tipo de Compromiso</w:t>
            </w:r>
          </w:p>
        </w:tc>
        <w:tc>
          <w:tcPr>
            <w:tcW w:w="9027" w:type="dxa"/>
            <w:tcBorders>
              <w:top w:val="nil"/>
              <w:left w:val="nil"/>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Objeto</w:t>
            </w:r>
          </w:p>
        </w:tc>
        <w:tc>
          <w:tcPr>
            <w:tcW w:w="1660" w:type="dxa"/>
            <w:tcBorders>
              <w:top w:val="nil"/>
              <w:left w:val="nil"/>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Valor</w:t>
            </w:r>
          </w:p>
        </w:tc>
      </w:tr>
      <w:tr w:rsidR="002B0B09" w:rsidRPr="00CC51E2" w:rsidTr="00315613">
        <w:trPr>
          <w:trHeight w:val="7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interadministrativo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prestar los servicios de socialización y divulgación necesarios para la ejecución de una estrategia de comunicación en canales de información masiva, que permita la promoción de cada una de las direcciones misionales de la caja de la vivienda popular.</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$ 36.085.948</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prestar los servicios de carácter operativo y logísticos necesarios para la ejecución de una estrategia btl de comunicación integral, que permita la promoción de la gestión pública de cada una de las direcciones misionales de la caja de la vivienda popular.</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$ 36.166.500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adición al contrato 415 de 2016 con objeto "contratar los servicios integrales de carácter administrativo y operativo, necesarios para la planeación estratégica, ejecución y medición de actividades culturales y de promoción de los productos de los diferentes programas de la caja de la vivienda popular, orientadas al cumplimiento de las metas misionales de cualquiera de sus proyectos.</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$ 28.000.000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adición y prorroga al contrato 592-2015 con objeto ¿la caja de la vivienda popular, requiere contratar por el sistema de precio global fijo los ajustes, actualización, y/o complementación de los estudios y diseños y por el sistema de precios unitarios fijos sin fórmula de reajuste la construcción de las obras de intervención física a escala barrial, ubicadas en Bogotá D.C., de conformidad con las especificaciones establecidas en el pliego de condiciones.</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$ 24.947.233</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grupo 2.</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$ 272.222.213</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grupo 3.</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$ 242.411.985</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grupo 1.</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$ 310.689.814</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las obras de intervención física a escala barrial consistentes en las reparaciones locativas requeridas en los salones comunales, ubicados en las localidades de la ciudad de Bogotá D.C.</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$ 613.083.470</w:t>
            </w:r>
          </w:p>
        </w:tc>
      </w:tr>
      <w:tr w:rsidR="002B0B09" w:rsidRPr="00CC51E2" w:rsidTr="00315613">
        <w:trPr>
          <w:trHeight w:val="99"/>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lastRenderedPageBreak/>
              <w:t>contrato de obra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4C1621">
            <w:pPr>
              <w:spacing w:after="0" w:line="240" w:lineRule="auto"/>
              <w:jc w:val="both"/>
              <w:rPr>
                <w:rFonts w:ascii="Arial" w:hAnsi="Arial" w:cs="Arial"/>
                <w:sz w:val="20"/>
                <w:szCs w:val="20"/>
              </w:rPr>
            </w:pPr>
            <w:r w:rsidRPr="00CC51E2">
              <w:rPr>
                <w:rFonts w:ascii="Arial" w:hAnsi="Arial" w:cs="Arial"/>
                <w:color w:val="000000"/>
                <w:sz w:val="20"/>
                <w:szCs w:val="20"/>
              </w:rPr>
              <w:t>realizar las obras de intervención física a escala barrial consistentes en las reparaciones locativas requeridas en los salones comunales, ubicados en las localidades de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$ 672.094.072</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consultoría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el estudio geotécnico del terreno y el estudio de suelos requerido para el trámite de licencia de construcción para el reforzamiento estructural del salón comunal del barrio caracolí, en la localidad de ciudad bolívar en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$ 13.530.300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adición y prorroga al contrato 598-2015 con objeto ¿la caja de la vivienda popular, requiere contratar la interventoría técnica, administrativa, financiera, social, ambiental y siso para los ajustes, actualización, y/o complementación de los estudios y diseños y la construcción de las obras de intervención física a escala barrial ubicadas en Bogotá D.C., de conformidad con las especificaciones establecidas en el pliego de condiciones definido en el proceso licitatorio correspondiente.</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$ 36.577.625</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realizar la interventoría técnica, administrativa, financiera, social, jurídica, ambiental y SSTMA para las obras de intervención física a escala barrial consistentes en las reparaciones locativas requeridas en los salones comunales, ubicados en las localidades de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$ 197.064.000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adición y prórroga del contrato no. 598 de 2015 " la CVP requiere contratar contratar, la interventoría, técnica, administrativa, financiera, social, ambiental y siso para la construcción de las obras de intervención física a escala barrial, ubicadas en Bogotá D.C., de conformidad con las especificaciones establecidas en el pliego de condiciones definido en el proceso licitatorio correspondiente.</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$ 15.048.541</w:t>
            </w:r>
          </w:p>
        </w:tc>
      </w:tr>
      <w:tr w:rsidR="002B0B09" w:rsidRPr="00CC51E2" w:rsidTr="00315613">
        <w:trPr>
          <w:trHeight w:val="20"/>
          <w:jc w:val="right"/>
        </w:trPr>
        <w:tc>
          <w:tcPr>
            <w:tcW w:w="107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0B09" w:rsidRPr="00CC51E2" w:rsidRDefault="002B0B09" w:rsidP="00315613">
            <w:pPr>
              <w:spacing w:after="0" w:line="240" w:lineRule="auto"/>
              <w:jc w:val="center"/>
              <w:rPr>
                <w:rFonts w:ascii="Arial" w:hAnsi="Arial" w:cs="Arial"/>
                <w:b/>
                <w:color w:val="000000"/>
                <w:sz w:val="20"/>
                <w:szCs w:val="20"/>
              </w:rPr>
            </w:pPr>
            <w:r w:rsidRPr="00CC51E2">
              <w:rPr>
                <w:rFonts w:ascii="Arial" w:hAnsi="Arial" w:cs="Arial"/>
                <w:b/>
                <w:color w:val="000000"/>
                <w:sz w:val="20"/>
                <w:szCs w:val="20"/>
              </w:rPr>
              <w:t>TOTAL</w:t>
            </w:r>
          </w:p>
        </w:tc>
        <w:tc>
          <w:tcPr>
            <w:tcW w:w="1660" w:type="dxa"/>
            <w:tcBorders>
              <w:top w:val="single" w:sz="4" w:space="0" w:color="auto"/>
              <w:left w:val="nil"/>
              <w:bottom w:val="single" w:sz="4" w:space="0" w:color="auto"/>
              <w:right w:val="single" w:sz="4" w:space="0" w:color="auto"/>
            </w:tcBorders>
            <w:shd w:val="clear" w:color="auto" w:fill="auto"/>
            <w:noWrap/>
            <w:vAlign w:val="center"/>
          </w:tcPr>
          <w:p w:rsidR="002B0B09" w:rsidRPr="00CC51E2" w:rsidRDefault="002B0B09" w:rsidP="00315613">
            <w:pPr>
              <w:spacing w:after="0" w:line="240" w:lineRule="auto"/>
              <w:jc w:val="both"/>
              <w:rPr>
                <w:rFonts w:ascii="Arial" w:hAnsi="Arial" w:cs="Arial"/>
                <w:b/>
                <w:color w:val="000000"/>
                <w:sz w:val="20"/>
                <w:szCs w:val="20"/>
              </w:rPr>
            </w:pPr>
            <w:r w:rsidRPr="00CC51E2">
              <w:rPr>
                <w:rFonts w:ascii="Arial" w:hAnsi="Arial" w:cs="Arial"/>
                <w:b/>
                <w:color w:val="000000"/>
                <w:sz w:val="20"/>
                <w:szCs w:val="20"/>
              </w:rPr>
              <w:t>$ 2.497.921.701</w:t>
            </w:r>
          </w:p>
        </w:tc>
      </w:tr>
    </w:tbl>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pPr>
    </w:p>
    <w:tbl>
      <w:tblPr>
        <w:tblW w:w="5680" w:type="dxa"/>
        <w:jc w:val="center"/>
        <w:tblCellMar>
          <w:left w:w="70" w:type="dxa"/>
          <w:right w:w="70" w:type="dxa"/>
        </w:tblCellMar>
        <w:tblLook w:val="04A0" w:firstRow="1" w:lastRow="0" w:firstColumn="1" w:lastColumn="0" w:noHBand="0" w:noVBand="1"/>
      </w:tblPr>
      <w:tblGrid>
        <w:gridCol w:w="3472"/>
        <w:gridCol w:w="2208"/>
      </w:tblGrid>
      <w:tr w:rsidR="002B0B09" w:rsidRPr="00CC51E2"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CONTRATOS DE BIENES Y SERVICIOS</w:t>
            </w:r>
          </w:p>
        </w:tc>
      </w:tr>
      <w:tr w:rsidR="002B0B09" w:rsidRPr="00CC51E2"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 xml:space="preserve">   Contrato de Obra e Interventoría</w:t>
            </w:r>
          </w:p>
        </w:tc>
      </w:tr>
      <w:tr w:rsidR="002B0B09" w:rsidRPr="00CC51E2"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$ 2.321.095.854,00</w:t>
            </w:r>
          </w:p>
        </w:tc>
      </w:tr>
      <w:tr w:rsidR="002B0B09" w:rsidRPr="00CC51E2"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Adiciones Contratos de obra e interventoría</w:t>
            </w:r>
          </w:p>
        </w:tc>
      </w:tr>
      <w:tr w:rsidR="002B0B09" w:rsidRPr="00CC51E2"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$ 76.573.399,00</w:t>
            </w:r>
          </w:p>
        </w:tc>
      </w:tr>
      <w:tr w:rsidR="002B0B09" w:rsidRPr="00CC51E2"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Contratos de Dotación</w:t>
            </w:r>
          </w:p>
        </w:tc>
      </w:tr>
      <w:tr w:rsidR="002B0B09" w:rsidRPr="00CC51E2"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$ 72.252.448,00</w:t>
            </w:r>
          </w:p>
        </w:tc>
      </w:tr>
      <w:tr w:rsidR="002B0B09" w:rsidRPr="00CC51E2"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Adición a Contratos de Dotación</w:t>
            </w:r>
          </w:p>
        </w:tc>
      </w:tr>
      <w:tr w:rsidR="002B0B09" w:rsidRPr="00CC51E2"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$ 28.000.000,00</w:t>
            </w:r>
          </w:p>
        </w:tc>
      </w:tr>
      <w:tr w:rsidR="002B0B09" w:rsidRPr="00CC51E2"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TOTAL</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$ 2.497.921.701,00</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sectPr w:rsidR="002B0B09" w:rsidRPr="00CC51E2" w:rsidSect="00315613">
          <w:pgSz w:w="15840" w:h="12240" w:orient="landscape" w:code="1"/>
          <w:pgMar w:top="1701" w:right="2268" w:bottom="1843" w:left="1134" w:header="709" w:footer="709" w:gutter="0"/>
          <w:cols w:space="708"/>
          <w:docGrid w:linePitch="360"/>
        </w:sectPr>
      </w:pP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Información sobre el recurso humano</w:t>
      </w:r>
    </w:p>
    <w:p w:rsidR="002B0B09" w:rsidRPr="00CC51E2" w:rsidRDefault="002B0B09" w:rsidP="002B0B09">
      <w:pPr>
        <w:spacing w:before="100" w:beforeAutospacing="1" w:after="100" w:afterAutospacing="1"/>
        <w:ind w:left="360"/>
        <w:jc w:val="center"/>
        <w:rPr>
          <w:rFonts w:ascii="Arial" w:eastAsia="Times New Roman" w:hAnsi="Arial" w:cs="Arial"/>
          <w:sz w:val="20"/>
          <w:szCs w:val="20"/>
          <w:lang w:eastAsia="es-CO"/>
        </w:rPr>
      </w:pPr>
      <w:r w:rsidRPr="00CC51E2">
        <w:rPr>
          <w:rFonts w:ascii="Arial" w:eastAsia="Times New Roman" w:hAnsi="Arial" w:cs="Arial"/>
          <w:b/>
          <w:noProof/>
          <w:sz w:val="20"/>
          <w:szCs w:val="20"/>
          <w:lang w:val="es-ES" w:eastAsia="es-ES"/>
        </w:rPr>
        <w:drawing>
          <wp:inline distT="0" distB="0" distL="0" distR="0" wp14:anchorId="0479D084" wp14:editId="50410176">
            <wp:extent cx="3237230" cy="353695"/>
            <wp:effectExtent l="0" t="0" r="1270" b="825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7230" cy="353695"/>
                    </a:xfrm>
                    <a:prstGeom prst="rect">
                      <a:avLst/>
                    </a:prstGeom>
                    <a:noFill/>
                  </pic:spPr>
                </pic:pic>
              </a:graphicData>
            </a:graphic>
          </wp:inline>
        </w:drawing>
      </w:r>
    </w:p>
    <w:p w:rsidR="002B0B09" w:rsidRPr="00CC51E2" w:rsidRDefault="002B0B09" w:rsidP="002B0B09">
      <w:pPr>
        <w:spacing w:before="100" w:beforeAutospacing="1" w:after="100" w:afterAutospacing="1"/>
        <w:ind w:left="360"/>
        <w:jc w:val="both"/>
        <w:rPr>
          <w:rFonts w:ascii="Arial" w:eastAsia="Times New Roman" w:hAnsi="Arial" w:cs="Arial"/>
          <w:b/>
          <w:sz w:val="20"/>
          <w:szCs w:val="20"/>
          <w:lang w:eastAsia="es-CO"/>
        </w:rPr>
      </w:pPr>
      <w:r w:rsidRPr="00CC51E2">
        <w:rPr>
          <w:rFonts w:ascii="Arial" w:eastAsia="Times New Roman" w:hAnsi="Arial" w:cs="Arial"/>
          <w:sz w:val="20"/>
          <w:szCs w:val="20"/>
          <w:lang w:eastAsia="es-CO"/>
        </w:rPr>
        <w:t>La comunicación sistémica permite interrelacionar los componentes entre sí con el Direccionamiento del Director Técnico de Mejoramiento de Barrios</w:t>
      </w:r>
    </w:p>
    <w:p w:rsidR="002B0B09" w:rsidRPr="00CC51E2" w:rsidRDefault="002B0B09" w:rsidP="002B0B09">
      <w:pPr>
        <w:spacing w:before="100" w:beforeAutospacing="1" w:after="100" w:afterAutospacing="1"/>
        <w:jc w:val="center"/>
        <w:rPr>
          <w:rFonts w:ascii="Arial" w:eastAsia="Times New Roman" w:hAnsi="Arial" w:cs="Arial"/>
          <w:b/>
          <w:sz w:val="20"/>
          <w:szCs w:val="20"/>
          <w:lang w:eastAsia="es-CO"/>
        </w:rPr>
      </w:pPr>
      <w:r w:rsidRPr="00CC51E2">
        <w:rPr>
          <w:rFonts w:ascii="Arial" w:eastAsia="Times New Roman" w:hAnsi="Arial" w:cs="Arial"/>
          <w:b/>
          <w:noProof/>
          <w:sz w:val="20"/>
          <w:szCs w:val="20"/>
          <w:lang w:val="es-ES" w:eastAsia="es-ES"/>
        </w:rPr>
        <w:drawing>
          <wp:inline distT="0" distB="0" distL="0" distR="0" wp14:anchorId="68E1FDD5" wp14:editId="40D3B8C8">
            <wp:extent cx="3782060" cy="3639185"/>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2060" cy="3639185"/>
                    </a:xfrm>
                    <a:prstGeom prst="rect">
                      <a:avLst/>
                    </a:prstGeom>
                    <a:noFill/>
                  </pic:spPr>
                </pic:pic>
              </a:graphicData>
            </a:graphic>
          </wp:inline>
        </w:drawing>
      </w:r>
    </w:p>
    <w:tbl>
      <w:tblPr>
        <w:tblW w:w="5382" w:type="dxa"/>
        <w:jc w:val="center"/>
        <w:tblCellMar>
          <w:left w:w="70" w:type="dxa"/>
          <w:right w:w="70" w:type="dxa"/>
        </w:tblCellMar>
        <w:tblLook w:val="04A0" w:firstRow="1" w:lastRow="0" w:firstColumn="1" w:lastColumn="0" w:noHBand="0" w:noVBand="1"/>
      </w:tblPr>
      <w:tblGrid>
        <w:gridCol w:w="3106"/>
        <w:gridCol w:w="2276"/>
      </w:tblGrid>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CONTRATOS DE RECURSO HUMANO</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$ 1.694.261.834,00</w:t>
            </w:r>
          </w:p>
        </w:tc>
      </w:tr>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Pago de riesgo labora contratistas riesgo tipo 5 - ARL</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$ 20.925.200,00</w:t>
            </w:r>
          </w:p>
        </w:tc>
      </w:tr>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Planta temporal</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$ 118.461.599,00</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TOTAL</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b/>
                <w:bCs/>
                <w:color w:val="000000"/>
                <w:sz w:val="20"/>
                <w:szCs w:val="20"/>
              </w:rPr>
            </w:pPr>
            <w:r w:rsidRPr="00CC51E2">
              <w:rPr>
                <w:rFonts w:ascii="Arial" w:hAnsi="Arial" w:cs="Arial"/>
                <w:b/>
                <w:bCs/>
                <w:color w:val="000000"/>
                <w:sz w:val="20"/>
                <w:szCs w:val="20"/>
              </w:rPr>
              <w:t>$ 1.833.648.633,00</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Acciones de mejoramiento institucional y de desempeño de la gestión pública</w:t>
      </w: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En la Dirección de Mejoramiento de Barrios, se está realizando un análisis profundo a la transición de la Norma ISO 9001:2015, identificando acciones de mejora muy representativas en la definición de exigencias y métodos de trabajo con los proveedores externos de productos y servicios, teniendo en cuenta el proceso de diseño y desarrollo, así como la definición de los requisitos de entradas y el debido control para lograr la satisfacción en la finalización de obras.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En la proyección de estudios previos, se están relacionando requisitos de la norma para exigir a los proveedores externos, la gestión por procesos y un enfoque en Calidad. Es importante la labor realizada en el análisis basado en riesgos. </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La responsabilidad social se ha fortalecido en la atención directa a los beneficiarios, con resultados que generan gran impacto en la comunidad. </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La actualización del Sistema Integrado de Gestión es indispensable en el desarrollo del Plan de Acción de Gestión.</w:t>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 xml:space="preserve">  Información sobre procesos y procedimientos relacionados con la prestación de servicios sociales (atención a grupos específicos de población)</w:t>
      </w:r>
    </w:p>
    <w:p w:rsidR="002B0B09" w:rsidRPr="00CC51E2" w:rsidRDefault="002B0B09" w:rsidP="002B0B09">
      <w:pPr>
        <w:pStyle w:val="Default"/>
        <w:spacing w:line="276" w:lineRule="auto"/>
        <w:jc w:val="both"/>
        <w:rPr>
          <w:sz w:val="20"/>
          <w:szCs w:val="20"/>
        </w:rPr>
      </w:pPr>
      <w:r w:rsidRPr="00CC51E2">
        <w:rPr>
          <w:sz w:val="20"/>
          <w:szCs w:val="20"/>
        </w:rPr>
        <w:t xml:space="preserve">Las actividades que se relacionan a continuación, hacen parte del plan de gestión social que emite la Dirección de Mejoramiento de Barrios para los diferentes proyectos infraestructura urbana que se tienen en ejecución en la actualidad, con el objetivo de fortalecer el sentido de pertenencia de la comunidad hacia las obras que se adelantan y las que se entregan a satisfacción para uso adecuado. Es importante  aportar al reconocimiento del territorio como espacio común para la construcción de relaciones sociales, el ejercicio de la ciudadanía y la restitución de derechos. </w:t>
      </w:r>
    </w:p>
    <w:p w:rsidR="002B0B09" w:rsidRPr="00CC51E2" w:rsidRDefault="002B0B09" w:rsidP="002B0B09">
      <w:pPr>
        <w:pStyle w:val="Default"/>
        <w:spacing w:line="276" w:lineRule="auto"/>
        <w:jc w:val="both"/>
        <w:rPr>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Se busca fortalecer el proceso de sostenibilidad, que debe mantenerse como principio orientador de la totalidad de actividades de orden social a desarrollar con la comunidad, de allí la importancia de preparar adecuadamente cada una de las acciones a realizar y el adelanto de la Responsabilidad Social como Política de la Calidad.</w:t>
      </w: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Contrato 597 de 2016</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291 personas que habitan en el área de influencia directa de la obra, en el barrio Compostela -localidad de Usme-, y 265 personas que habitan en el área de influencia directa de la obra, en el barrio Caracolí -localidad de Ciudad Bolívar.</w:t>
      </w:r>
    </w:p>
    <w:p w:rsidR="002B0B09" w:rsidRPr="00CC51E2" w:rsidRDefault="002B0B09" w:rsidP="002B0B09">
      <w:pPr>
        <w:jc w:val="both"/>
        <w:rPr>
          <w:rFonts w:ascii="Arial" w:hAnsi="Arial" w:cs="Arial"/>
          <w:sz w:val="20"/>
          <w:szCs w:val="20"/>
        </w:rPr>
      </w:pPr>
      <w:r w:rsidRPr="00CC51E2">
        <w:rPr>
          <w:rFonts w:ascii="Arial" w:hAnsi="Arial" w:cs="Arial"/>
          <w:sz w:val="20"/>
          <w:szCs w:val="20"/>
        </w:rPr>
        <w:t>Durante esta vigencia se culminó la Etapa I-Estudios y Diseños-, en donde se realizaron las actividades que a continuación se relacionan:</w:t>
      </w: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707392" behindDoc="1" locked="0" layoutInCell="1" allowOverlap="1" wp14:anchorId="1564B9C9" wp14:editId="5438016D">
            <wp:simplePos x="0" y="0"/>
            <wp:positionH relativeFrom="margin">
              <wp:posOffset>948690</wp:posOffset>
            </wp:positionH>
            <wp:positionV relativeFrom="paragraph">
              <wp:posOffset>3810</wp:posOffset>
            </wp:positionV>
            <wp:extent cx="4039870" cy="1771650"/>
            <wp:effectExtent l="0" t="0" r="36830" b="0"/>
            <wp:wrapNone/>
            <wp:docPr id="455" name="Diagrama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t xml:space="preserve"> </w:t>
      </w:r>
      <w:r w:rsidRPr="00CC51E2">
        <w:rPr>
          <w:rFonts w:ascii="Arial" w:hAnsi="Arial" w:cs="Arial"/>
          <w:sz w:val="20"/>
          <w:szCs w:val="20"/>
        </w:rPr>
        <w:tab/>
      </w:r>
      <w:r w:rsidRPr="00CC51E2">
        <w:rPr>
          <w:rFonts w:ascii="Arial" w:hAnsi="Arial" w:cs="Arial"/>
          <w:sz w:val="20"/>
          <w:szCs w:val="20"/>
        </w:rPr>
        <w:tab/>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Adicionalmente, se realizaron dos (2) Comités de Veeduría Ciudadana, los cuales se encontraban conformados por 6 personas de la comunidad en cada barrio.</w:t>
      </w:r>
    </w:p>
    <w:p w:rsidR="002B0B09" w:rsidRPr="00CC51E2" w:rsidRDefault="002B0B09" w:rsidP="002B0B09">
      <w:pPr>
        <w:jc w:val="both"/>
        <w:rPr>
          <w:rFonts w:ascii="Arial" w:hAnsi="Arial" w:cs="Arial"/>
          <w:sz w:val="20"/>
          <w:szCs w:val="20"/>
        </w:rPr>
      </w:pPr>
      <w:r w:rsidRPr="00CC51E2">
        <w:rPr>
          <w:rFonts w:ascii="Arial" w:hAnsi="Arial" w:cs="Arial"/>
          <w:sz w:val="20"/>
          <w:szCs w:val="20"/>
        </w:rPr>
        <w:t>Actualmente se encuentra en ejecución la Etapa 2-Construcción-, en la cual se han llevado a cabo las actividades que a continuación se relacionan:</w:t>
      </w:r>
    </w:p>
    <w:p w:rsidR="002B0B09" w:rsidRPr="00CC51E2" w:rsidRDefault="002B0B09" w:rsidP="002B0B09">
      <w:pPr>
        <w:ind w:left="708" w:firstLine="708"/>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6368" behindDoc="1" locked="0" layoutInCell="1" allowOverlap="1" wp14:anchorId="039B8F4A" wp14:editId="01D4B173">
            <wp:simplePos x="0" y="0"/>
            <wp:positionH relativeFrom="margin">
              <wp:posOffset>0</wp:posOffset>
            </wp:positionH>
            <wp:positionV relativeFrom="paragraph">
              <wp:posOffset>30790</wp:posOffset>
            </wp:positionV>
            <wp:extent cx="5390707" cy="1860550"/>
            <wp:effectExtent l="0" t="0" r="19685" b="6350"/>
            <wp:wrapNone/>
            <wp:docPr id="465" name="Diagrama 4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 xml:space="preserve">Se han realizado, además, tres (3) Comités de Veeduría Ciudadana, que continúan conformados por las personas que hacían parte de él en la Etapa I-Estudios y Diseños. </w:t>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lastRenderedPageBreak/>
        <w:t>Registros Fotográficos</w:t>
      </w:r>
    </w:p>
    <w:tbl>
      <w:tblPr>
        <w:tblStyle w:val="Tablaconcuadrcula"/>
        <w:tblW w:w="854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513"/>
        <w:gridCol w:w="4029"/>
      </w:tblGrid>
      <w:tr w:rsidR="002B0B09" w:rsidRPr="00CC51E2" w:rsidTr="00315613">
        <w:trPr>
          <w:trHeight w:val="2467"/>
          <w:jc w:val="center"/>
        </w:trPr>
        <w:tc>
          <w:tcPr>
            <w:tcW w:w="4513"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0528" behindDoc="1" locked="0" layoutInCell="1" allowOverlap="1" wp14:anchorId="57A838A8" wp14:editId="6B92617E">
                  <wp:simplePos x="0" y="0"/>
                  <wp:positionH relativeFrom="column">
                    <wp:posOffset>-13335</wp:posOffset>
                  </wp:positionH>
                  <wp:positionV relativeFrom="paragraph">
                    <wp:posOffset>49530</wp:posOffset>
                  </wp:positionV>
                  <wp:extent cx="2743200" cy="1849755"/>
                  <wp:effectExtent l="0" t="0" r="0" b="0"/>
                  <wp:wrapNone/>
                  <wp:docPr id="466" name="Imagen 466" descr="C:\Users\MABautista\AppData\Local\Microsoft\Windows\INetCache\Content.Word\IMG_20170513_09410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autista\AppData\Local\Microsoft\Windows\INetCache\Content.Word\IMG_20170513_09410637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29" w:type="dxa"/>
          </w:tcPr>
          <w:p w:rsidR="002B0B09" w:rsidRPr="00CC51E2" w:rsidRDefault="002B0B09" w:rsidP="00315613">
            <w:pPr>
              <w:spacing w:before="240"/>
              <w:jc w:val="both"/>
              <w:rPr>
                <w:rFonts w:ascii="Arial" w:hAnsi="Arial" w:cs="Arial"/>
                <w:noProof/>
                <w:sz w:val="20"/>
                <w:szCs w:val="20"/>
                <w:lang w:eastAsia="es-ES"/>
              </w:rPr>
            </w:pPr>
            <w:r w:rsidRPr="00CC51E2">
              <w:rPr>
                <w:rFonts w:ascii="Arial" w:hAnsi="Arial" w:cs="Arial"/>
                <w:noProof/>
                <w:sz w:val="20"/>
                <w:szCs w:val="20"/>
                <w:lang w:val="es-ES" w:eastAsia="es-ES"/>
              </w:rPr>
              <w:drawing>
                <wp:anchor distT="0" distB="0" distL="114300" distR="114300" simplePos="0" relativeHeight="251669504" behindDoc="1" locked="0" layoutInCell="1" allowOverlap="1" wp14:anchorId="69B31528" wp14:editId="163F9F70">
                  <wp:simplePos x="0" y="0"/>
                  <wp:positionH relativeFrom="column">
                    <wp:posOffset>-21590</wp:posOffset>
                  </wp:positionH>
                  <wp:positionV relativeFrom="paragraph">
                    <wp:posOffset>30480</wp:posOffset>
                  </wp:positionV>
                  <wp:extent cx="2457450" cy="1866501"/>
                  <wp:effectExtent l="0" t="0" r="0" b="635"/>
                  <wp:wrapNone/>
                  <wp:docPr id="469" name="Imagen 469" descr="C:\Users\MABautista\AppData\Local\Microsoft\Windows\INetCache\Content.Word\IMG_20171014_10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Bautista\AppData\Local\Microsoft\Windows\INetCache\Content.Word\IMG_20171014_10114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8308" cy="18823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tc>
      </w:tr>
      <w:tr w:rsidR="002B0B09" w:rsidRPr="00CC51E2" w:rsidTr="00315613">
        <w:trPr>
          <w:trHeight w:val="546"/>
          <w:jc w:val="center"/>
        </w:trPr>
        <w:tc>
          <w:tcPr>
            <w:tcW w:w="4513"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Comité de Veeduría Ciudadana –</w:t>
            </w:r>
          </w:p>
          <w:p w:rsidR="002B0B09" w:rsidRPr="00CC51E2" w:rsidRDefault="002B0B09" w:rsidP="00315613">
            <w:pPr>
              <w:jc w:val="center"/>
              <w:rPr>
                <w:rFonts w:ascii="Arial" w:hAnsi="Arial" w:cs="Arial"/>
                <w:sz w:val="20"/>
                <w:szCs w:val="20"/>
              </w:rPr>
            </w:pPr>
            <w:r w:rsidRPr="00CC51E2">
              <w:rPr>
                <w:rFonts w:ascii="Arial" w:hAnsi="Arial" w:cs="Arial"/>
                <w:sz w:val="20"/>
                <w:szCs w:val="20"/>
              </w:rPr>
              <w:t xml:space="preserve"> Caracolí</w:t>
            </w:r>
          </w:p>
        </w:tc>
        <w:tc>
          <w:tcPr>
            <w:tcW w:w="4029"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Comité de Veeduría Ciudadana - Compostela</w:t>
            </w:r>
          </w:p>
        </w:tc>
      </w:tr>
    </w:tbl>
    <w:p w:rsidR="002B0B09" w:rsidRPr="00CC51E2" w:rsidRDefault="002B0B09" w:rsidP="002B0B09">
      <w:pPr>
        <w:spacing w:after="0"/>
        <w:jc w:val="both"/>
        <w:rPr>
          <w:rFonts w:ascii="Arial" w:hAnsi="Arial" w:cs="Arial"/>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315613">
        <w:trPr>
          <w:jc w:val="center"/>
        </w:trPr>
        <w:tc>
          <w:tcPr>
            <w:tcW w:w="4247"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1552" behindDoc="1" locked="0" layoutInCell="1" allowOverlap="1" wp14:anchorId="21D4417D" wp14:editId="66E11BEB">
                  <wp:simplePos x="0" y="0"/>
                  <wp:positionH relativeFrom="column">
                    <wp:posOffset>-29845</wp:posOffset>
                  </wp:positionH>
                  <wp:positionV relativeFrom="paragraph">
                    <wp:posOffset>22860</wp:posOffset>
                  </wp:positionV>
                  <wp:extent cx="2590800" cy="1821180"/>
                  <wp:effectExtent l="0" t="0" r="0" b="7620"/>
                  <wp:wrapNone/>
                  <wp:docPr id="451" name="Imagen 451" descr="C:\Users\MABautista\AppData\Local\Microsoft\Windows\INetCache\Content.Word\IMG_20170603_09313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Bautista\AppData\Local\Microsoft\Windows\INetCache\Content.Word\IMG_20170603_0931332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0855" cy="18212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47"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2576" behindDoc="1" locked="0" layoutInCell="1" allowOverlap="1" wp14:anchorId="64F8F976" wp14:editId="3E86FDB5">
                  <wp:simplePos x="0" y="0"/>
                  <wp:positionH relativeFrom="column">
                    <wp:posOffset>-31115</wp:posOffset>
                  </wp:positionH>
                  <wp:positionV relativeFrom="paragraph">
                    <wp:posOffset>32385</wp:posOffset>
                  </wp:positionV>
                  <wp:extent cx="2581275" cy="1814195"/>
                  <wp:effectExtent l="0" t="0" r="9525" b="0"/>
                  <wp:wrapNone/>
                  <wp:docPr id="470" name="Imagen 470" descr="C:\Users\MABautista\AppData\Local\Microsoft\Windows\INetCache\Content.Word\IMG_20170902_09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Bautista\AppData\Local\Microsoft\Windows\INetCache\Content.Word\IMG_20170902_0942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1275"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r>
      <w:tr w:rsidR="002B0B09" w:rsidRPr="00CC51E2" w:rsidTr="00315613">
        <w:trPr>
          <w:jc w:val="center"/>
        </w:trPr>
        <w:tc>
          <w:tcPr>
            <w:tcW w:w="4247"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de Arquitectura - Caracolí</w:t>
            </w:r>
          </w:p>
        </w:tc>
        <w:tc>
          <w:tcPr>
            <w:tcW w:w="4247"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Extraordinaria – Seguridad</w:t>
            </w:r>
          </w:p>
        </w:tc>
      </w:tr>
    </w:tbl>
    <w:p w:rsidR="002B0B09" w:rsidRPr="00CC51E2" w:rsidRDefault="002B0B09" w:rsidP="002B0B09">
      <w:pPr>
        <w:spacing w:after="0"/>
        <w:jc w:val="both"/>
        <w:rPr>
          <w:rFonts w:ascii="Arial" w:hAnsi="Arial" w:cs="Arial"/>
          <w:sz w:val="20"/>
          <w:szCs w:val="20"/>
        </w:rPr>
      </w:pPr>
    </w:p>
    <w:tbl>
      <w:tblPr>
        <w:tblStyle w:val="Tablaconcuadrcula"/>
        <w:tblW w:w="848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4252"/>
      </w:tblGrid>
      <w:tr w:rsidR="002B0B09" w:rsidRPr="00CC51E2" w:rsidTr="00315613">
        <w:trPr>
          <w:jc w:val="center"/>
        </w:trPr>
        <w:tc>
          <w:tcPr>
            <w:tcW w:w="4230"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673600" behindDoc="1" locked="0" layoutInCell="1" allowOverlap="1" wp14:anchorId="5BBFDA6D" wp14:editId="6A2B60FC">
                  <wp:simplePos x="0" y="0"/>
                  <wp:positionH relativeFrom="column">
                    <wp:posOffset>-32385</wp:posOffset>
                  </wp:positionH>
                  <wp:positionV relativeFrom="paragraph">
                    <wp:posOffset>28575</wp:posOffset>
                  </wp:positionV>
                  <wp:extent cx="2603500" cy="2047875"/>
                  <wp:effectExtent l="0" t="0" r="6350" b="9525"/>
                  <wp:wrapNone/>
                  <wp:docPr id="471" name="Imagen 471" descr="C:\Users\MABautista\AppData\Local\Microsoft\Windows\INetCache\Content.Word\IMG_20170610_10224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autista\AppData\Local\Microsoft\Windows\INetCache\Content.Word\IMG_20170610_10224558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35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2"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4624" behindDoc="1" locked="0" layoutInCell="1" allowOverlap="1" wp14:anchorId="1D349823" wp14:editId="05BD4279">
                  <wp:simplePos x="0" y="0"/>
                  <wp:positionH relativeFrom="column">
                    <wp:posOffset>-20320</wp:posOffset>
                  </wp:positionH>
                  <wp:positionV relativeFrom="paragraph">
                    <wp:posOffset>34290</wp:posOffset>
                  </wp:positionV>
                  <wp:extent cx="2590800" cy="2038350"/>
                  <wp:effectExtent l="0" t="0" r="0" b="0"/>
                  <wp:wrapNone/>
                  <wp:docPr id="474" name="Imagen 474" descr="C:\Users\MABautista\AppData\Local\Microsoft\Windows\INetCache\Content.Word\IMG_20170609_15090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autista\AppData\Local\Microsoft\Windows\INetCache\Content.Word\IMG_20170609_15090018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9606" cy="20531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p w:rsidR="002B0B09" w:rsidRPr="00CC51E2" w:rsidRDefault="002B0B09" w:rsidP="00315613">
            <w:pPr>
              <w:spacing w:before="240"/>
              <w:jc w:val="both"/>
              <w:rPr>
                <w:rFonts w:ascii="Arial" w:hAnsi="Arial" w:cs="Arial"/>
                <w:sz w:val="20"/>
                <w:szCs w:val="20"/>
              </w:rPr>
            </w:pPr>
          </w:p>
          <w:p w:rsidR="002B0B09" w:rsidRPr="00CC51E2" w:rsidRDefault="002B0B09" w:rsidP="00315613">
            <w:pPr>
              <w:spacing w:before="240"/>
              <w:jc w:val="both"/>
              <w:rPr>
                <w:rFonts w:ascii="Arial" w:hAnsi="Arial" w:cs="Arial"/>
                <w:sz w:val="20"/>
                <w:szCs w:val="20"/>
              </w:rPr>
            </w:pPr>
          </w:p>
          <w:p w:rsidR="002B0B09" w:rsidRPr="00CC51E2" w:rsidRDefault="002B0B09" w:rsidP="00315613">
            <w:pPr>
              <w:tabs>
                <w:tab w:val="left" w:pos="3015"/>
              </w:tabs>
              <w:spacing w:before="240"/>
              <w:jc w:val="both"/>
              <w:rPr>
                <w:rFonts w:ascii="Arial" w:hAnsi="Arial" w:cs="Arial"/>
                <w:sz w:val="20"/>
                <w:szCs w:val="20"/>
              </w:rPr>
            </w:pPr>
            <w:r w:rsidRPr="00CC51E2">
              <w:rPr>
                <w:rFonts w:ascii="Arial" w:hAnsi="Arial" w:cs="Arial"/>
                <w:sz w:val="20"/>
                <w:szCs w:val="20"/>
              </w:rPr>
              <w:tab/>
            </w:r>
          </w:p>
          <w:p w:rsidR="002B0B09" w:rsidRPr="00CC51E2" w:rsidRDefault="002B0B09" w:rsidP="00315613">
            <w:pPr>
              <w:spacing w:before="240"/>
              <w:jc w:val="both"/>
              <w:rPr>
                <w:rFonts w:ascii="Arial" w:hAnsi="Arial" w:cs="Arial"/>
                <w:sz w:val="20"/>
                <w:szCs w:val="20"/>
              </w:rPr>
            </w:pPr>
          </w:p>
          <w:p w:rsidR="002B0B09" w:rsidRPr="00CC51E2" w:rsidRDefault="002B0B09" w:rsidP="00315613">
            <w:pPr>
              <w:spacing w:before="240"/>
              <w:jc w:val="both"/>
              <w:rPr>
                <w:rFonts w:ascii="Arial" w:hAnsi="Arial" w:cs="Arial"/>
                <w:sz w:val="20"/>
                <w:szCs w:val="20"/>
              </w:rPr>
            </w:pPr>
          </w:p>
        </w:tc>
      </w:tr>
      <w:tr w:rsidR="002B0B09" w:rsidRPr="00CC51E2" w:rsidTr="00315613">
        <w:trPr>
          <w:jc w:val="center"/>
        </w:trPr>
        <w:tc>
          <w:tcPr>
            <w:tcW w:w="4230"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de Inicio de Obra - Caracolí</w:t>
            </w:r>
          </w:p>
        </w:tc>
        <w:tc>
          <w:tcPr>
            <w:tcW w:w="4252"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de Inicio de Obra - Compostela</w:t>
            </w:r>
          </w:p>
        </w:tc>
      </w:tr>
    </w:tbl>
    <w:p w:rsidR="002B0B09" w:rsidRPr="00CC51E2" w:rsidRDefault="002B0B09" w:rsidP="002B0B09">
      <w:pPr>
        <w:jc w:val="both"/>
        <w:rPr>
          <w:rFonts w:ascii="Arial" w:hAnsi="Arial" w:cs="Arial"/>
          <w:sz w:val="20"/>
          <w:szCs w:val="20"/>
        </w:rPr>
      </w:pPr>
    </w:p>
    <w:tbl>
      <w:tblPr>
        <w:tblStyle w:val="Tablaconcuadrcula"/>
        <w:tblW w:w="853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097"/>
        <w:gridCol w:w="4435"/>
      </w:tblGrid>
      <w:tr w:rsidR="002B0B09" w:rsidRPr="00CC51E2" w:rsidTr="00315613">
        <w:trPr>
          <w:trHeight w:val="3685"/>
          <w:jc w:val="center"/>
        </w:trPr>
        <w:tc>
          <w:tcPr>
            <w:tcW w:w="4097"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5648" behindDoc="1" locked="0" layoutInCell="1" allowOverlap="1" wp14:anchorId="48ABC192" wp14:editId="002DDEED">
                  <wp:simplePos x="0" y="0"/>
                  <wp:positionH relativeFrom="column">
                    <wp:posOffset>-16510</wp:posOffset>
                  </wp:positionH>
                  <wp:positionV relativeFrom="paragraph">
                    <wp:posOffset>24130</wp:posOffset>
                  </wp:positionV>
                  <wp:extent cx="2486025" cy="2286000"/>
                  <wp:effectExtent l="0" t="0" r="9525" b="0"/>
                  <wp:wrapNone/>
                  <wp:docPr id="478" name="Imagen 478" descr="C:\Users\MABautista\AppData\Local\Microsoft\Windows\INetCache\Content.Word\IMG_20171028_1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autista\AppData\Local\Microsoft\Windows\INetCache\Content.Word\IMG_20171028_1100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860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35"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6672" behindDoc="1" locked="0" layoutInCell="1" allowOverlap="1" wp14:anchorId="7ACDD840" wp14:editId="45EE0B42">
                  <wp:simplePos x="0" y="0"/>
                  <wp:positionH relativeFrom="column">
                    <wp:posOffset>-18415</wp:posOffset>
                  </wp:positionH>
                  <wp:positionV relativeFrom="paragraph">
                    <wp:posOffset>24130</wp:posOffset>
                  </wp:positionV>
                  <wp:extent cx="2714625" cy="2286000"/>
                  <wp:effectExtent l="0" t="0" r="9525" b="0"/>
                  <wp:wrapNone/>
                  <wp:docPr id="480" name="Imagen 480" descr="C:\Users\MABautista\AppData\Local\Microsoft\Windows\INetCache\Content.Word\IMG_20171028_11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autista\AppData\Local\Microsoft\Windows\INetCache\Content.Word\IMG_20171028_11225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46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tc>
      </w:tr>
      <w:tr w:rsidR="002B0B09" w:rsidRPr="00CC51E2" w:rsidTr="00315613">
        <w:trPr>
          <w:trHeight w:val="258"/>
          <w:jc w:val="center"/>
        </w:trPr>
        <w:tc>
          <w:tcPr>
            <w:tcW w:w="8532"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Pedagógico “Mi Barrio, Hábitat de Todos” - Caracolí</w:t>
            </w:r>
          </w:p>
        </w:tc>
      </w:tr>
    </w:tbl>
    <w:p w:rsidR="002B0B09" w:rsidRPr="00CC51E2" w:rsidRDefault="002B0B09" w:rsidP="002B0B09">
      <w:pPr>
        <w:jc w:val="both"/>
        <w:rPr>
          <w:rFonts w:ascii="Arial" w:hAnsi="Arial" w:cs="Arial"/>
          <w:sz w:val="20"/>
          <w:szCs w:val="20"/>
        </w:rPr>
      </w:pPr>
    </w:p>
    <w:tbl>
      <w:tblPr>
        <w:tblStyle w:val="Tablaconcuadrcula"/>
        <w:tblW w:w="8431"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4201"/>
      </w:tblGrid>
      <w:tr w:rsidR="002B0B09" w:rsidRPr="00CC51E2" w:rsidTr="00315613">
        <w:trPr>
          <w:trHeight w:val="3757"/>
          <w:jc w:val="center"/>
        </w:trPr>
        <w:tc>
          <w:tcPr>
            <w:tcW w:w="4230"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677696" behindDoc="1" locked="0" layoutInCell="1" allowOverlap="1" wp14:anchorId="5832BC84" wp14:editId="2D76F01E">
                  <wp:simplePos x="0" y="0"/>
                  <wp:positionH relativeFrom="column">
                    <wp:posOffset>-19685</wp:posOffset>
                  </wp:positionH>
                  <wp:positionV relativeFrom="paragraph">
                    <wp:posOffset>38100</wp:posOffset>
                  </wp:positionV>
                  <wp:extent cx="2590800" cy="2324100"/>
                  <wp:effectExtent l="0" t="0" r="0" b="0"/>
                  <wp:wrapNone/>
                  <wp:docPr id="481" name="Imagen 481" descr="C:\Users\MABautista\AppData\Local\Microsoft\Windows\INetCache\Content.Word\IMG_20171028_09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autista\AppData\Local\Microsoft\Windows\INetCache\Content.Word\IMG_20171028_09223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080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01"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8720" behindDoc="1" locked="0" layoutInCell="1" allowOverlap="1" wp14:anchorId="46E67269" wp14:editId="11BFF2E0">
                  <wp:simplePos x="0" y="0"/>
                  <wp:positionH relativeFrom="column">
                    <wp:posOffset>-38735</wp:posOffset>
                  </wp:positionH>
                  <wp:positionV relativeFrom="paragraph">
                    <wp:posOffset>38100</wp:posOffset>
                  </wp:positionV>
                  <wp:extent cx="2581275" cy="2314575"/>
                  <wp:effectExtent l="0" t="0" r="9525" b="9525"/>
                  <wp:wrapNone/>
                  <wp:docPr id="482" name="Imagen 482" descr="C:\Users\MABautista\AppData\Local\Microsoft\Windows\INetCache\Content.Word\IMG_20171028_10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Bautista\AppData\Local\Microsoft\Windows\INetCache\Content.Word\IMG_20171028_10045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127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tc>
      </w:tr>
      <w:tr w:rsidR="002B0B09" w:rsidRPr="00CC51E2" w:rsidTr="00315613">
        <w:trPr>
          <w:trHeight w:val="261"/>
          <w:jc w:val="center"/>
        </w:trPr>
        <w:tc>
          <w:tcPr>
            <w:tcW w:w="8431"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Pedagógico “Mi Barrio, Hábitat de Todos” - Compostela</w:t>
            </w:r>
          </w:p>
        </w:tc>
      </w:tr>
    </w:tbl>
    <w:p w:rsidR="002B0B09" w:rsidRPr="00CC51E2" w:rsidRDefault="002B0B09" w:rsidP="002B0B09">
      <w:pPr>
        <w:rPr>
          <w:rFonts w:ascii="Arial" w:hAnsi="Arial" w:cs="Arial"/>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br w:type="page"/>
      </w:r>
    </w:p>
    <w:p w:rsidR="00C65BC4" w:rsidRPr="00CC51E2" w:rsidRDefault="00C65BC4" w:rsidP="002B0B09">
      <w:pPr>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Contrato 605 de 2015</w:t>
      </w:r>
    </w:p>
    <w:p w:rsidR="002B0B09" w:rsidRPr="00CC51E2" w:rsidRDefault="002B0B09" w:rsidP="002B0B09">
      <w:pPr>
        <w:jc w:val="both"/>
        <w:rPr>
          <w:rFonts w:ascii="Arial" w:hAnsi="Arial" w:cs="Arial"/>
          <w:b/>
          <w:sz w:val="20"/>
          <w:szCs w:val="20"/>
        </w:rPr>
      </w:pPr>
      <w:r w:rsidRPr="00CC51E2">
        <w:rPr>
          <w:rFonts w:ascii="Arial" w:hAnsi="Arial" w:cs="Arial"/>
          <w:sz w:val="20"/>
          <w:szCs w:val="20"/>
        </w:rPr>
        <w:t xml:space="preserve">Para este proyecto se beneficiaron 625 personas que habitan en el área de influencia directa de la obra, en esta vigencia se culminó la entrega de las obras a la comunidad a través de la Actividad denominada “Pacto de Sostenibilidad” en los siguientes barrios: </w:t>
      </w:r>
    </w:p>
    <w:p w:rsidR="002B0B09" w:rsidRPr="00CC51E2" w:rsidRDefault="002B0B09" w:rsidP="002B0B09">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81792" behindDoc="1" locked="0" layoutInCell="1" allowOverlap="1" wp14:anchorId="0BD52EDB" wp14:editId="0C7332DF">
            <wp:simplePos x="0" y="0"/>
            <wp:positionH relativeFrom="column">
              <wp:posOffset>1067642</wp:posOffset>
            </wp:positionH>
            <wp:positionV relativeFrom="paragraph">
              <wp:posOffset>184327</wp:posOffset>
            </wp:positionV>
            <wp:extent cx="3221665" cy="1971675"/>
            <wp:effectExtent l="0" t="38100" r="0" b="28575"/>
            <wp:wrapNone/>
            <wp:docPr id="487" name="Diagrama 4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anchor>
        </w:drawing>
      </w:r>
    </w:p>
    <w:p w:rsidR="002B0B09" w:rsidRPr="00CC51E2" w:rsidRDefault="002B0B09" w:rsidP="002B0B09">
      <w:pPr>
        <w:ind w:left="1416" w:firstLine="708"/>
        <w:jc w:val="both"/>
        <w:rPr>
          <w:rFonts w:ascii="Arial" w:hAnsi="Arial" w:cs="Arial"/>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8981"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372"/>
        <w:gridCol w:w="4596"/>
        <w:gridCol w:w="13"/>
      </w:tblGrid>
      <w:tr w:rsidR="002B0B09" w:rsidRPr="00CC51E2" w:rsidTr="00315613">
        <w:trPr>
          <w:gridAfter w:val="1"/>
          <w:wAfter w:w="13" w:type="dxa"/>
          <w:trHeight w:val="2453"/>
          <w:jc w:val="center"/>
        </w:trPr>
        <w:tc>
          <w:tcPr>
            <w:tcW w:w="4372" w:type="dxa"/>
          </w:tcPr>
          <w:p w:rsidR="002B0B09" w:rsidRPr="00CC51E2" w:rsidRDefault="002B0B09" w:rsidP="00315613">
            <w:pPr>
              <w:spacing w:before="240"/>
              <w:jc w:val="both"/>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79744" behindDoc="1" locked="0" layoutInCell="1" allowOverlap="1" wp14:anchorId="3A73480A" wp14:editId="739F75DB">
                  <wp:simplePos x="0" y="0"/>
                  <wp:positionH relativeFrom="column">
                    <wp:posOffset>-26035</wp:posOffset>
                  </wp:positionH>
                  <wp:positionV relativeFrom="paragraph">
                    <wp:posOffset>25400</wp:posOffset>
                  </wp:positionV>
                  <wp:extent cx="2689860" cy="1885950"/>
                  <wp:effectExtent l="0" t="0" r="0" b="0"/>
                  <wp:wrapNone/>
                  <wp:docPr id="488" name="Imagen 488" descr="C:\Users\MABautista\AppData\Local\Microsoft\Windows\INetCache\Content.Word\IMG_20170407_10070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Bautista\AppData\Local\Microsoft\Windows\INetCache\Content.Word\IMG_20170407_10070563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5660" cy="18900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tc>
        <w:tc>
          <w:tcPr>
            <w:tcW w:w="4596" w:type="dxa"/>
          </w:tcPr>
          <w:p w:rsidR="002B0B09" w:rsidRPr="00CC51E2" w:rsidRDefault="002B0B09" w:rsidP="00315613">
            <w:pPr>
              <w:spacing w:before="240"/>
              <w:jc w:val="both"/>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0768" behindDoc="1" locked="0" layoutInCell="1" allowOverlap="1" wp14:anchorId="477944AD" wp14:editId="124C6CE7">
                  <wp:simplePos x="0" y="0"/>
                  <wp:positionH relativeFrom="column">
                    <wp:posOffset>-31750</wp:posOffset>
                  </wp:positionH>
                  <wp:positionV relativeFrom="paragraph">
                    <wp:posOffset>34925</wp:posOffset>
                  </wp:positionV>
                  <wp:extent cx="2828925" cy="1857375"/>
                  <wp:effectExtent l="0" t="0" r="9525" b="9525"/>
                  <wp:wrapNone/>
                  <wp:docPr id="489" name="Imagen 489" descr="C:\Users\MABautista\AppData\Local\Microsoft\Windows\INetCache\Content.Word\IMG_20170407_10492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Bautista\AppData\Local\Microsoft\Windows\INetCache\Content.Word\IMG_20170407_104928888.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3234" b="18606"/>
                          <a:stretch/>
                        </pic:blipFill>
                        <pic:spPr bwMode="auto">
                          <a:xfrm>
                            <a:off x="0" y="0"/>
                            <a:ext cx="2828925"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51E2">
              <w:rPr>
                <w:rFonts w:ascii="Arial" w:hAnsi="Arial" w:cs="Arial"/>
                <w:color w:val="FF0000"/>
                <w:sz w:val="20"/>
                <w:szCs w:val="20"/>
              </w:rPr>
              <w:br/>
            </w:r>
          </w:p>
        </w:tc>
      </w:tr>
      <w:tr w:rsidR="002B0B09" w:rsidRPr="00CC51E2" w:rsidTr="00315613">
        <w:trPr>
          <w:trHeight w:val="274"/>
          <w:jc w:val="center"/>
        </w:trPr>
        <w:tc>
          <w:tcPr>
            <w:tcW w:w="8981"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Acuerdo de Sostenibilidad – Islandia, localidad Bosa</w:t>
            </w:r>
          </w:p>
        </w:tc>
      </w:tr>
    </w:tbl>
    <w:p w:rsidR="002B0B09" w:rsidRPr="00CC51E2" w:rsidRDefault="002B0B09" w:rsidP="002B0B09">
      <w:pPr>
        <w:rPr>
          <w:rFonts w:ascii="Arial" w:hAnsi="Arial" w:cs="Arial"/>
          <w:color w:val="FF0000"/>
          <w:sz w:val="20"/>
          <w:szCs w:val="20"/>
        </w:rPr>
      </w:pPr>
      <w:r w:rsidRPr="00CC51E2">
        <w:rPr>
          <w:rFonts w:ascii="Arial" w:hAnsi="Arial" w:cs="Arial"/>
          <w:color w:val="FF0000"/>
          <w:sz w:val="20"/>
          <w:szCs w:val="20"/>
        </w:rPr>
        <w:tab/>
      </w: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tbl>
      <w:tblPr>
        <w:tblStyle w:val="Tablaconcuadrcula"/>
        <w:tblW w:w="9073"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165"/>
        <w:gridCol w:w="4513"/>
        <w:gridCol w:w="165"/>
      </w:tblGrid>
      <w:tr w:rsidR="002B0B09" w:rsidRPr="00CC51E2" w:rsidTr="00C65BC4">
        <w:trPr>
          <w:jc w:val="center"/>
        </w:trPr>
        <w:tc>
          <w:tcPr>
            <w:tcW w:w="4395"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2816" behindDoc="1" locked="0" layoutInCell="1" allowOverlap="1" wp14:anchorId="18FA9B68" wp14:editId="6128B52D">
                  <wp:simplePos x="0" y="0"/>
                  <wp:positionH relativeFrom="column">
                    <wp:posOffset>-35560</wp:posOffset>
                  </wp:positionH>
                  <wp:positionV relativeFrom="paragraph">
                    <wp:posOffset>17144</wp:posOffset>
                  </wp:positionV>
                  <wp:extent cx="2695575" cy="1819275"/>
                  <wp:effectExtent l="0" t="0" r="9525" b="9525"/>
                  <wp:wrapNone/>
                  <wp:docPr id="490" name="Imagen 490" descr="C:\Users\MABautista\AppData\Local\Microsoft\Windows\INetCache\Content.Word\IMG_20170826_08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Bautista\AppData\Local\Microsoft\Windows\INetCache\Content.Word\IMG_20170826_08525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955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4678"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3840" behindDoc="1" locked="0" layoutInCell="1" allowOverlap="1" wp14:anchorId="71BB7BBA" wp14:editId="40867C7E">
                  <wp:simplePos x="0" y="0"/>
                  <wp:positionH relativeFrom="column">
                    <wp:posOffset>-26035</wp:posOffset>
                  </wp:positionH>
                  <wp:positionV relativeFrom="paragraph">
                    <wp:posOffset>17145</wp:posOffset>
                  </wp:positionV>
                  <wp:extent cx="2876550" cy="1819275"/>
                  <wp:effectExtent l="0" t="0" r="0" b="9525"/>
                  <wp:wrapNone/>
                  <wp:docPr id="491" name="Imagen 491" descr="C:\Users\MABautista\AppData\Local\Microsoft\Windows\INetCache\Content.Word\IMG_20170826_08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Bautista\AppData\Local\Microsoft\Windows\INetCache\Content.Word\IMG_20170826_0856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7368" cy="18197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C65BC4">
        <w:trPr>
          <w:jc w:val="center"/>
        </w:trPr>
        <w:tc>
          <w:tcPr>
            <w:tcW w:w="9073" w:type="dxa"/>
            <w:gridSpan w:val="4"/>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Acuerdo de Sostenibilidad – Ramajal, localidad San Cristóbal</w:t>
            </w:r>
          </w:p>
        </w:tc>
      </w:tr>
      <w:tr w:rsidR="002B0B09" w:rsidRPr="00CC51E2" w:rsidTr="00C65BC4">
        <w:trPr>
          <w:gridAfter w:val="1"/>
          <w:wAfter w:w="165" w:type="dxa"/>
          <w:jc w:val="center"/>
        </w:trPr>
        <w:tc>
          <w:tcPr>
            <w:tcW w:w="4230" w:type="dxa"/>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4864" behindDoc="1" locked="0" layoutInCell="1" allowOverlap="1" wp14:anchorId="0262B33C" wp14:editId="1F82C6E3">
                  <wp:simplePos x="0" y="0"/>
                  <wp:positionH relativeFrom="column">
                    <wp:posOffset>-27940</wp:posOffset>
                  </wp:positionH>
                  <wp:positionV relativeFrom="paragraph">
                    <wp:posOffset>33655</wp:posOffset>
                  </wp:positionV>
                  <wp:extent cx="2562225" cy="1971675"/>
                  <wp:effectExtent l="0" t="0" r="9525" b="9525"/>
                  <wp:wrapNone/>
                  <wp:docPr id="492" name="Imagen 492" descr="C:\Users\MABautista\AppData\Local\Microsoft\Windows\INetCache\Content.Word\IMG_20170826_12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Bautista\AppData\Local\Microsoft\Windows\INetCache\Content.Word\IMG_20170826_12134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68815" cy="19767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4678"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5888" behindDoc="1" locked="0" layoutInCell="1" allowOverlap="1" wp14:anchorId="7714ADE2" wp14:editId="6F5FA984">
                  <wp:simplePos x="0" y="0"/>
                  <wp:positionH relativeFrom="column">
                    <wp:posOffset>-21590</wp:posOffset>
                  </wp:positionH>
                  <wp:positionV relativeFrom="paragraph">
                    <wp:posOffset>24130</wp:posOffset>
                  </wp:positionV>
                  <wp:extent cx="2819400" cy="1971675"/>
                  <wp:effectExtent l="0" t="0" r="0" b="9525"/>
                  <wp:wrapNone/>
                  <wp:docPr id="493" name="Imagen 493" descr="C:\Users\MABautista\AppData\Local\Microsoft\Windows\INetCache\Content.Word\IMG_20170826_13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Bautista\AppData\Local\Microsoft\Windows\INetCache\Content.Word\IMG_20170826_13272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194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C65BC4">
        <w:trPr>
          <w:gridAfter w:val="1"/>
          <w:wAfter w:w="165" w:type="dxa"/>
          <w:jc w:val="center"/>
        </w:trPr>
        <w:tc>
          <w:tcPr>
            <w:tcW w:w="8908" w:type="dxa"/>
            <w:gridSpan w:val="3"/>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Acuerdo de Sostenibilidad – Tres Reyes, localidad Ciudad Bolívar</w:t>
            </w:r>
          </w:p>
        </w:tc>
      </w:tr>
    </w:tbl>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br w:type="page"/>
      </w:r>
      <w:r w:rsidRPr="00CC51E2">
        <w:rPr>
          <w:rFonts w:ascii="Arial" w:hAnsi="Arial" w:cs="Arial"/>
          <w:b/>
          <w:sz w:val="20"/>
          <w:szCs w:val="20"/>
        </w:rPr>
        <w:lastRenderedPageBreak/>
        <w:t>Contrato 584 de 2016</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4128 personas que habitan en el área de influencia directa de la obra, en los barrios -San Cristóbal Sur viejo, Alpes del Futuro, Nueva España, República de Canadá, Valparaíso, Juan Rey I sector y Juan Rey II Sector en la localidad de San Cristóbal.</w:t>
      </w:r>
    </w:p>
    <w:p w:rsidR="002B0B09" w:rsidRPr="00CC51E2" w:rsidRDefault="002B0B09" w:rsidP="002B0B09">
      <w:pPr>
        <w:jc w:val="both"/>
        <w:rPr>
          <w:rFonts w:ascii="Arial" w:hAnsi="Arial" w:cs="Arial"/>
          <w:sz w:val="20"/>
          <w:szCs w:val="20"/>
        </w:rPr>
      </w:pPr>
      <w:r w:rsidRPr="00CC51E2">
        <w:rPr>
          <w:rFonts w:ascii="Arial" w:hAnsi="Arial" w:cs="Arial"/>
          <w:sz w:val="20"/>
          <w:szCs w:val="20"/>
        </w:rPr>
        <w:t>Durante esta vigencia se culminó la Etapa I-Estudios y Diseños-, en donde se realizaron las actividades que a continuación se relacionan:</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8416" behindDoc="1" locked="0" layoutInCell="1" allowOverlap="1" wp14:anchorId="43F714E1" wp14:editId="78E8D32D">
            <wp:simplePos x="0" y="0"/>
            <wp:positionH relativeFrom="margin">
              <wp:posOffset>274010</wp:posOffset>
            </wp:positionH>
            <wp:positionV relativeFrom="paragraph">
              <wp:posOffset>-635</wp:posOffset>
            </wp:positionV>
            <wp:extent cx="4933507" cy="1781175"/>
            <wp:effectExtent l="0" t="0" r="19685" b="0"/>
            <wp:wrapNone/>
            <wp:docPr id="452" name="Diagrama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margin">
              <wp14:pctWidth>0</wp14:pctWidth>
            </wp14:sizeRelH>
          </wp:anchor>
        </w:drawing>
      </w:r>
      <w:r w:rsidRPr="00CC51E2">
        <w:rPr>
          <w:rFonts w:ascii="Arial" w:hAnsi="Arial" w:cs="Arial"/>
          <w:sz w:val="20"/>
          <w:szCs w:val="20"/>
        </w:rPr>
        <w:t xml:space="preserve"> </w:t>
      </w:r>
      <w:r w:rsidRPr="00CC51E2">
        <w:rPr>
          <w:rFonts w:ascii="Arial" w:hAnsi="Arial" w:cs="Arial"/>
          <w:sz w:val="20"/>
          <w:szCs w:val="20"/>
        </w:rPr>
        <w:tab/>
      </w:r>
      <w:r w:rsidRPr="00CC51E2">
        <w:rPr>
          <w:rFonts w:ascii="Arial" w:hAnsi="Arial" w:cs="Arial"/>
          <w:sz w:val="20"/>
          <w:szCs w:val="20"/>
        </w:rPr>
        <w:tab/>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Actualmente se encuentra en ejecución la Etapa 2-Construcción-, en la cual se han llevado a cabo las actividades que a continuación se relacionan:</w:t>
      </w:r>
    </w:p>
    <w:p w:rsidR="002B0B09" w:rsidRPr="00CC51E2" w:rsidRDefault="002B0B09" w:rsidP="002B0B09">
      <w:pPr>
        <w:ind w:left="708" w:firstLine="708"/>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16FA6494" wp14:editId="1EF145BA">
            <wp:extent cx="3838353" cy="1509824"/>
            <wp:effectExtent l="0" t="0" r="0" b="0"/>
            <wp:docPr id="453" name="Diagrama 4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B0B09" w:rsidRPr="00CC51E2" w:rsidRDefault="002B0B09" w:rsidP="002B0B09">
      <w:pPr>
        <w:jc w:val="both"/>
        <w:rPr>
          <w:rFonts w:ascii="Arial" w:hAnsi="Arial" w:cs="Arial"/>
          <w:b/>
          <w:sz w:val="20"/>
          <w:szCs w:val="20"/>
        </w:rPr>
      </w:pPr>
      <w:r w:rsidRPr="00CC51E2">
        <w:rPr>
          <w:rFonts w:ascii="Arial" w:hAnsi="Arial" w:cs="Arial"/>
          <w:sz w:val="20"/>
          <w:szCs w:val="20"/>
        </w:rPr>
        <w:t>Con el objetivo de atender requerimientos generados por las comunidades asociados a los diseños en los Barrios Juan Rey I y II sector, se han realizado reuniones extraordinarias, las cuales han contado con la participación del equipo de contratistas de obra, firma interventora, supervisores de la Caja de la Vivienda Popular y representantes de la Juntas de Acción Comunal, entidades locales y Distritales tales como la Alcaldía Local de San Cristóbal y la Secretaria Distrital de Planeación.</w:t>
      </w:r>
      <w:r w:rsidRPr="00CC51E2">
        <w:rPr>
          <w:rFonts w:ascii="Arial" w:hAnsi="Arial" w:cs="Arial"/>
          <w:b/>
          <w:sz w:val="20"/>
          <w:szCs w:val="20"/>
        </w:rPr>
        <w:t xml:space="preserve"> </w:t>
      </w:r>
    </w:p>
    <w:p w:rsidR="002B0B09" w:rsidRPr="00CC51E2" w:rsidRDefault="002B0B09" w:rsidP="002B0B09">
      <w:pPr>
        <w:jc w:val="both"/>
        <w:rPr>
          <w:rFonts w:ascii="Arial" w:hAnsi="Arial" w:cs="Arial"/>
          <w:b/>
          <w:sz w:val="20"/>
          <w:szCs w:val="20"/>
        </w:rPr>
      </w:pPr>
    </w:p>
    <w:p w:rsidR="002B0B09" w:rsidRPr="00CC51E2" w:rsidRDefault="002B0B09" w:rsidP="002B0B09">
      <w:pPr>
        <w:jc w:val="both"/>
        <w:rPr>
          <w:rFonts w:ascii="Arial" w:hAnsi="Arial" w:cs="Arial"/>
          <w:b/>
          <w:sz w:val="20"/>
          <w:szCs w:val="20"/>
        </w:rPr>
      </w:pPr>
    </w:p>
    <w:p w:rsidR="002B0B09" w:rsidRPr="00CC51E2" w:rsidRDefault="002B0B09" w:rsidP="002B0B09">
      <w:pPr>
        <w:jc w:val="both"/>
        <w:rPr>
          <w:rFonts w:ascii="Arial" w:hAnsi="Arial" w:cs="Arial"/>
          <w:b/>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lastRenderedPageBreak/>
        <w:t>Una vez se cuente con el noventa y cinco por ciento de las obras se llevará a cabo la reunión de finalización y una vez finalizadas las obras se realizará una entrega a la comunidad a través del Acuerdo de Sostenibilidad.</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93056" behindDoc="1" locked="0" layoutInCell="1" allowOverlap="1" wp14:anchorId="290CC0BF" wp14:editId="694B207F">
            <wp:simplePos x="0" y="0"/>
            <wp:positionH relativeFrom="margin">
              <wp:align>center</wp:align>
            </wp:positionH>
            <wp:positionV relativeFrom="paragraph">
              <wp:posOffset>12065</wp:posOffset>
            </wp:positionV>
            <wp:extent cx="2551430" cy="1360805"/>
            <wp:effectExtent l="0" t="0" r="20320" b="0"/>
            <wp:wrapNone/>
            <wp:docPr id="494" name="Diagrama 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14:sizeRelH relativeFrom="margin">
              <wp14:pctWidth>0</wp14:pctWidth>
            </wp14:sizeRelH>
            <wp14:sizeRelV relativeFrom="margin">
              <wp14:pctHeight>0</wp14:pctHeight>
            </wp14:sizeRelV>
          </wp:anchor>
        </w:drawing>
      </w:r>
    </w:p>
    <w:p w:rsidR="002B0B09" w:rsidRPr="00CC51E2" w:rsidRDefault="002B0B09" w:rsidP="002B0B09">
      <w:pPr>
        <w:ind w:left="2124"/>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8624"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20"/>
        <w:gridCol w:w="2819"/>
        <w:gridCol w:w="2985"/>
      </w:tblGrid>
      <w:tr w:rsidR="002B0B09" w:rsidRPr="00CC51E2" w:rsidTr="00315613">
        <w:trPr>
          <w:jc w:val="center"/>
        </w:trPr>
        <w:tc>
          <w:tcPr>
            <w:tcW w:w="2820"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6912" behindDoc="1" locked="0" layoutInCell="1" allowOverlap="1" wp14:anchorId="022AA26C" wp14:editId="38A5CD7F">
                  <wp:simplePos x="0" y="0"/>
                  <wp:positionH relativeFrom="column">
                    <wp:posOffset>-25401</wp:posOffset>
                  </wp:positionH>
                  <wp:positionV relativeFrom="paragraph">
                    <wp:posOffset>33655</wp:posOffset>
                  </wp:positionV>
                  <wp:extent cx="1704975" cy="1638270"/>
                  <wp:effectExtent l="0" t="0" r="0" b="635"/>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078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07670" cy="1640860"/>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7936" behindDoc="1" locked="0" layoutInCell="1" allowOverlap="1" wp14:anchorId="4BC946D2" wp14:editId="03AED44A">
                  <wp:simplePos x="0" y="0"/>
                  <wp:positionH relativeFrom="column">
                    <wp:posOffset>-34925</wp:posOffset>
                  </wp:positionH>
                  <wp:positionV relativeFrom="paragraph">
                    <wp:posOffset>33655</wp:posOffset>
                  </wp:positionV>
                  <wp:extent cx="1714500" cy="1637665"/>
                  <wp:effectExtent l="0" t="0" r="0" b="635"/>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079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15030" cy="1638171"/>
                          </a:xfrm>
                          <a:prstGeom prst="rect">
                            <a:avLst/>
                          </a:prstGeom>
                        </pic:spPr>
                      </pic:pic>
                    </a:graphicData>
                  </a:graphic>
                  <wp14:sizeRelH relativeFrom="margin">
                    <wp14:pctWidth>0</wp14:pctWidth>
                  </wp14:sizeRelH>
                  <wp14:sizeRelV relativeFrom="margin">
                    <wp14:pctHeight>0</wp14:pctHeight>
                  </wp14:sizeRelV>
                </wp:anchor>
              </w:drawing>
            </w:r>
          </w:p>
        </w:tc>
        <w:tc>
          <w:tcPr>
            <w:tcW w:w="2985"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8960" behindDoc="1" locked="0" layoutInCell="1" allowOverlap="1" wp14:anchorId="6512C0DF" wp14:editId="1B7E0860">
                  <wp:simplePos x="0" y="0"/>
                  <wp:positionH relativeFrom="column">
                    <wp:posOffset>-34290</wp:posOffset>
                  </wp:positionH>
                  <wp:positionV relativeFrom="paragraph">
                    <wp:posOffset>33655</wp:posOffset>
                  </wp:positionV>
                  <wp:extent cx="1818745" cy="1637665"/>
                  <wp:effectExtent l="0" t="0" r="0" b="635"/>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08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3617" cy="1642052"/>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624"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de Inicio Etapa I</w:t>
            </w:r>
          </w:p>
        </w:tc>
      </w:tr>
    </w:tbl>
    <w:p w:rsidR="002B0B09" w:rsidRPr="00CC51E2" w:rsidRDefault="002B0B09" w:rsidP="002B0B09">
      <w:pPr>
        <w:jc w:val="center"/>
        <w:rPr>
          <w:rFonts w:ascii="Arial" w:hAnsi="Arial" w:cs="Arial"/>
          <w:b/>
          <w:sz w:val="20"/>
          <w:szCs w:val="20"/>
        </w:rPr>
      </w:pPr>
    </w:p>
    <w:tbl>
      <w:tblPr>
        <w:tblStyle w:val="Tablaconcuadrcula"/>
        <w:tblW w:w="848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44"/>
      </w:tblGrid>
      <w:tr w:rsidR="002B0B09" w:rsidRPr="00CC51E2" w:rsidTr="00315613">
        <w:trPr>
          <w:jc w:val="center"/>
        </w:trPr>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9984" behindDoc="1" locked="0" layoutInCell="1" allowOverlap="1" wp14:anchorId="4D140ACA" wp14:editId="14EEBEE7">
                  <wp:simplePos x="0" y="0"/>
                  <wp:positionH relativeFrom="column">
                    <wp:posOffset>-29845</wp:posOffset>
                  </wp:positionH>
                  <wp:positionV relativeFrom="paragraph">
                    <wp:posOffset>26034</wp:posOffset>
                  </wp:positionV>
                  <wp:extent cx="1687195" cy="1457325"/>
                  <wp:effectExtent l="0" t="0" r="8255" b="9525"/>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237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89962" cy="1459715"/>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1008" behindDoc="1" locked="0" layoutInCell="1" allowOverlap="1" wp14:anchorId="261E5D64" wp14:editId="75F18504">
                  <wp:simplePos x="0" y="0"/>
                  <wp:positionH relativeFrom="column">
                    <wp:posOffset>-39370</wp:posOffset>
                  </wp:positionH>
                  <wp:positionV relativeFrom="paragraph">
                    <wp:posOffset>35560</wp:posOffset>
                  </wp:positionV>
                  <wp:extent cx="1704975" cy="1438275"/>
                  <wp:effectExtent l="0" t="0" r="9525" b="9525"/>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238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04975" cy="1438275"/>
                          </a:xfrm>
                          <a:prstGeom prst="rect">
                            <a:avLst/>
                          </a:prstGeom>
                        </pic:spPr>
                      </pic:pic>
                    </a:graphicData>
                  </a:graphic>
                  <wp14:sizeRelH relativeFrom="margin">
                    <wp14:pctWidth>0</wp14:pctWidth>
                  </wp14:sizeRelH>
                  <wp14:sizeRelV relativeFrom="margin">
                    <wp14:pctHeight>0</wp14:pctHeight>
                  </wp14:sizeRelV>
                </wp:anchor>
              </w:drawing>
            </w:r>
          </w:p>
        </w:tc>
        <w:tc>
          <w:tcPr>
            <w:tcW w:w="2844"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2032" behindDoc="1" locked="0" layoutInCell="1" allowOverlap="1" wp14:anchorId="4D88D36D" wp14:editId="1523E8DF">
                  <wp:simplePos x="0" y="0"/>
                  <wp:positionH relativeFrom="column">
                    <wp:posOffset>-38735</wp:posOffset>
                  </wp:positionH>
                  <wp:positionV relativeFrom="paragraph">
                    <wp:posOffset>35560</wp:posOffset>
                  </wp:positionV>
                  <wp:extent cx="1724025" cy="1437640"/>
                  <wp:effectExtent l="0" t="0" r="9525" b="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235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33388" cy="1445448"/>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82"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de Socialización de los diseños Etapa I</w:t>
            </w:r>
          </w:p>
        </w:tc>
      </w:tr>
    </w:tbl>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315613">
        <w:trPr>
          <w:jc w:val="center"/>
        </w:trPr>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94080" behindDoc="1" locked="0" layoutInCell="1" allowOverlap="1" wp14:anchorId="1DA9788C" wp14:editId="09825BEB">
                  <wp:simplePos x="0" y="0"/>
                  <wp:positionH relativeFrom="column">
                    <wp:posOffset>-39370</wp:posOffset>
                  </wp:positionH>
                  <wp:positionV relativeFrom="paragraph">
                    <wp:posOffset>24130</wp:posOffset>
                  </wp:positionV>
                  <wp:extent cx="1704975" cy="1466850"/>
                  <wp:effectExtent l="0" t="0" r="9525" b="0"/>
                  <wp:wrapNone/>
                  <wp:docPr id="495" name="Imagen 495" descr="IMAG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036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0497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95104" behindDoc="1" locked="0" layoutInCell="1" allowOverlap="1" wp14:anchorId="690CFDAA" wp14:editId="326C64E9">
                  <wp:simplePos x="0" y="0"/>
                  <wp:positionH relativeFrom="column">
                    <wp:posOffset>-29845</wp:posOffset>
                  </wp:positionH>
                  <wp:positionV relativeFrom="paragraph">
                    <wp:posOffset>24130</wp:posOffset>
                  </wp:positionV>
                  <wp:extent cx="1695450" cy="1468120"/>
                  <wp:effectExtent l="0" t="0" r="0" b="0"/>
                  <wp:wrapNone/>
                  <wp:docPr id="454" name="7 Imagen">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a:extLst>
                              <a:ext uri="{FF2B5EF4-FFF2-40B4-BE49-F238E27FC236}">
                                <a16:creationId xmlns:a16="http://schemas.microsoft.com/office/drawing/2014/main" id="{00000000-0008-0000-0000-00000800000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95534" cy="1468193"/>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6128" behindDoc="1" locked="0" layoutInCell="1" allowOverlap="1" wp14:anchorId="036805AE" wp14:editId="48AE9F2E">
                  <wp:simplePos x="0" y="0"/>
                  <wp:positionH relativeFrom="column">
                    <wp:posOffset>-38735</wp:posOffset>
                  </wp:positionH>
                  <wp:positionV relativeFrom="paragraph">
                    <wp:posOffset>24130</wp:posOffset>
                  </wp:positionV>
                  <wp:extent cx="1695450" cy="1468120"/>
                  <wp:effectExtent l="0" t="0" r="0"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267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95450" cy="1468120"/>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 xml:space="preserve">Reuniones de Inicio “Todos con la Obra” </w:t>
            </w:r>
          </w:p>
        </w:tc>
      </w:tr>
    </w:tbl>
    <w:p w:rsidR="002B0B09" w:rsidRPr="00CC51E2" w:rsidRDefault="002B0B09" w:rsidP="002B0B09">
      <w:pPr>
        <w:spacing w:after="0" w:line="240" w:lineRule="auto"/>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Contrato 592 de 2015</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1300 personas que habitan en el área de influencia directa de la obra, adicionalmente en el periodo reportado se culminó la Etapa II-Construcción-, en donde se realizaron las actividades que a continuación se relacionan:</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97152" behindDoc="1" locked="0" layoutInCell="1" allowOverlap="1" wp14:anchorId="6E1D7FAD" wp14:editId="7CB7F320">
            <wp:simplePos x="0" y="0"/>
            <wp:positionH relativeFrom="page">
              <wp:align>center</wp:align>
            </wp:positionH>
            <wp:positionV relativeFrom="paragraph">
              <wp:posOffset>11430</wp:posOffset>
            </wp:positionV>
            <wp:extent cx="3476625" cy="1362075"/>
            <wp:effectExtent l="19050" t="0" r="28575" b="9525"/>
            <wp:wrapNone/>
            <wp:docPr id="476" name="Diagrama 4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margin">
              <wp14:pctWidth>0</wp14:pctWidth>
            </wp14:sizeRelH>
            <wp14:sizeRelV relativeFrom="margin">
              <wp14:pctHeight>0</wp14:pctHeight>
            </wp14:sizeRelV>
          </wp:anchor>
        </w:drawing>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En esta vigencia, se culminó la entrega de las obras a la comunidad a través de la Actividad denominada “Pacto de Sostenibilidad” de los barrios Horizontes, y la Llanurita ubicados en la localidad de Usaquén.</w:t>
      </w:r>
    </w:p>
    <w:p w:rsidR="002B0B09" w:rsidRPr="00CC51E2" w:rsidRDefault="002B0B09" w:rsidP="002B0B09">
      <w:pPr>
        <w:rPr>
          <w:rFonts w:ascii="Arial" w:hAnsi="Arial" w:cs="Arial"/>
          <w:sz w:val="20"/>
          <w:szCs w:val="20"/>
        </w:rPr>
      </w:pPr>
      <w:r w:rsidRPr="00CC51E2">
        <w:rPr>
          <w:rFonts w:ascii="Arial" w:hAnsi="Arial" w:cs="Arial"/>
          <w:sz w:val="20"/>
          <w:szCs w:val="20"/>
        </w:rPr>
        <w:br w:type="page"/>
      </w:r>
    </w:p>
    <w:p w:rsidR="002B0B09" w:rsidRPr="00CC51E2" w:rsidRDefault="002B0B09" w:rsidP="002B0B09">
      <w:pPr>
        <w:jc w:val="center"/>
        <w:rPr>
          <w:rFonts w:ascii="Arial" w:hAnsi="Arial" w:cs="Arial"/>
          <w:b/>
          <w:sz w:val="20"/>
          <w:szCs w:val="20"/>
        </w:rPr>
      </w:pPr>
      <w:r w:rsidRPr="00CC51E2">
        <w:rPr>
          <w:rFonts w:ascii="Arial" w:hAnsi="Arial" w:cs="Arial"/>
          <w:b/>
          <w:sz w:val="20"/>
          <w:szCs w:val="20"/>
        </w:rPr>
        <w:lastRenderedPageBreak/>
        <w:t>Registros Fotográficos:</w:t>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8176" behindDoc="1" locked="0" layoutInCell="1" allowOverlap="1" wp14:anchorId="37F70664" wp14:editId="1ABCF63C">
                  <wp:simplePos x="0" y="0"/>
                  <wp:positionH relativeFrom="column">
                    <wp:posOffset>-15639</wp:posOffset>
                  </wp:positionH>
                  <wp:positionV relativeFrom="paragraph">
                    <wp:posOffset>21058</wp:posOffset>
                  </wp:positionV>
                  <wp:extent cx="2592705" cy="1860698"/>
                  <wp:effectExtent l="0" t="0" r="0" b="6350"/>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068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95831" cy="1862941"/>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422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9200" behindDoc="1" locked="0" layoutInCell="1" allowOverlap="1" wp14:anchorId="5E3F0F59" wp14:editId="343CA1F9">
                  <wp:simplePos x="0" y="0"/>
                  <wp:positionH relativeFrom="column">
                    <wp:posOffset>-11017</wp:posOffset>
                  </wp:positionH>
                  <wp:positionV relativeFrom="paragraph">
                    <wp:posOffset>31691</wp:posOffset>
                  </wp:positionV>
                  <wp:extent cx="2593975" cy="1860698"/>
                  <wp:effectExtent l="0" t="0" r="0" b="635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068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6180" cy="1876626"/>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Arte Urbano</w:t>
            </w:r>
          </w:p>
        </w:tc>
      </w:tr>
    </w:tbl>
    <w:p w:rsidR="002B0B09" w:rsidRPr="00CC51E2" w:rsidRDefault="002B0B09" w:rsidP="002B0B09">
      <w:pPr>
        <w:spacing w:after="0"/>
        <w:jc w:val="center"/>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315613">
        <w:trPr>
          <w:jc w:val="center"/>
        </w:trPr>
        <w:tc>
          <w:tcPr>
            <w:tcW w:w="2819" w:type="dxa"/>
          </w:tcPr>
          <w:p w:rsidR="002B0B09" w:rsidRPr="00CC51E2" w:rsidRDefault="002B0B09" w:rsidP="00315613">
            <w:pPr>
              <w:jc w:val="both"/>
              <w:rPr>
                <w:rFonts w:ascii="Arial" w:hAnsi="Arial" w:cs="Arial"/>
                <w:b/>
                <w:sz w:val="20"/>
                <w:szCs w:val="20"/>
              </w:rPr>
            </w:pPr>
            <w:r w:rsidRPr="00CC51E2">
              <w:rPr>
                <w:rFonts w:ascii="Arial" w:hAnsi="Arial" w:cs="Arial"/>
                <w:b/>
                <w:sz w:val="20"/>
                <w:szCs w:val="20"/>
              </w:rPr>
              <w:br w:type="page"/>
            </w:r>
            <w:r w:rsidRPr="00CC51E2">
              <w:rPr>
                <w:rFonts w:ascii="Arial" w:hAnsi="Arial" w:cs="Arial"/>
                <w:b/>
                <w:noProof/>
                <w:sz w:val="20"/>
                <w:szCs w:val="20"/>
                <w:lang w:val="es-ES" w:eastAsia="es-ES"/>
              </w:rPr>
              <w:drawing>
                <wp:anchor distT="0" distB="0" distL="114300" distR="114300" simplePos="0" relativeHeight="251700224" behindDoc="1" locked="0" layoutInCell="1" allowOverlap="1" wp14:anchorId="151EA2BA" wp14:editId="5355882B">
                  <wp:simplePos x="0" y="0"/>
                  <wp:positionH relativeFrom="column">
                    <wp:posOffset>-14767</wp:posOffset>
                  </wp:positionH>
                  <wp:positionV relativeFrom="paragraph">
                    <wp:posOffset>16510</wp:posOffset>
                  </wp:positionV>
                  <wp:extent cx="1690370" cy="1871330"/>
                  <wp:effectExtent l="0" t="0" r="5080" b="0"/>
                  <wp:wrapNone/>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228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90370" cy="1871330"/>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tc>
        <w:tc>
          <w:tcPr>
            <w:tcW w:w="2819" w:type="dxa"/>
          </w:tcPr>
          <w:p w:rsidR="002B0B09" w:rsidRPr="00CC51E2" w:rsidRDefault="002B0B09" w:rsidP="00315613">
            <w:pPr>
              <w:jc w:val="both"/>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701248" behindDoc="1" locked="0" layoutInCell="1" allowOverlap="1" wp14:anchorId="1355C838" wp14:editId="5CEEC3B7">
                  <wp:simplePos x="0" y="0"/>
                  <wp:positionH relativeFrom="column">
                    <wp:posOffset>-19434</wp:posOffset>
                  </wp:positionH>
                  <wp:positionV relativeFrom="paragraph">
                    <wp:posOffset>27349</wp:posOffset>
                  </wp:positionV>
                  <wp:extent cx="1690370" cy="1860078"/>
                  <wp:effectExtent l="0" t="0" r="5080" b="6985"/>
                  <wp:wrapNone/>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226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97872" cy="1868334"/>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jc w:val="both"/>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702272" behindDoc="1" locked="0" layoutInCell="1" allowOverlap="1" wp14:anchorId="4ED7263C" wp14:editId="2EE2B513">
                  <wp:simplePos x="0" y="0"/>
                  <wp:positionH relativeFrom="column">
                    <wp:posOffset>-23229</wp:posOffset>
                  </wp:positionH>
                  <wp:positionV relativeFrom="paragraph">
                    <wp:posOffset>37982</wp:posOffset>
                  </wp:positionV>
                  <wp:extent cx="1710681" cy="1849282"/>
                  <wp:effectExtent l="0" t="0" r="4445" b="0"/>
                  <wp:wrapNone/>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228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29254" cy="1869360"/>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ACUERDO DE SOSTENIBILIDAD-La Llanurita</w:t>
            </w:r>
          </w:p>
        </w:tc>
      </w:tr>
    </w:tbl>
    <w:p w:rsidR="002B0B09" w:rsidRPr="00CC51E2" w:rsidRDefault="002B0B0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315613">
        <w:trPr>
          <w:jc w:val="center"/>
        </w:trPr>
        <w:tc>
          <w:tcPr>
            <w:tcW w:w="2819"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lastRenderedPageBreak/>
              <w:drawing>
                <wp:anchor distT="0" distB="0" distL="114300" distR="114300" simplePos="0" relativeHeight="251703296" behindDoc="1" locked="0" layoutInCell="1" allowOverlap="1" wp14:anchorId="4A49553F" wp14:editId="7A582654">
                  <wp:simplePos x="0" y="0"/>
                  <wp:positionH relativeFrom="column">
                    <wp:posOffset>-15004</wp:posOffset>
                  </wp:positionH>
                  <wp:positionV relativeFrom="paragraph">
                    <wp:posOffset>22372</wp:posOffset>
                  </wp:positionV>
                  <wp:extent cx="1691092" cy="1807535"/>
                  <wp:effectExtent l="0" t="0" r="4445" b="2540"/>
                  <wp:wrapNone/>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215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97144" cy="1814004"/>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2819"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drawing>
                <wp:anchor distT="0" distB="0" distL="114300" distR="114300" simplePos="0" relativeHeight="251704320" behindDoc="1" locked="0" layoutInCell="1" allowOverlap="1" wp14:anchorId="22C3598E" wp14:editId="3B4F6BF0">
                  <wp:simplePos x="0" y="0"/>
                  <wp:positionH relativeFrom="column">
                    <wp:posOffset>-20320</wp:posOffset>
                  </wp:positionH>
                  <wp:positionV relativeFrom="paragraph">
                    <wp:posOffset>21752</wp:posOffset>
                  </wp:positionV>
                  <wp:extent cx="1689779" cy="1796578"/>
                  <wp:effectExtent l="0" t="0" r="5715" b="0"/>
                  <wp:wrapNone/>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216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89779" cy="1796578"/>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drawing>
                <wp:anchor distT="0" distB="0" distL="114300" distR="114300" simplePos="0" relativeHeight="251705344" behindDoc="1" locked="0" layoutInCell="1" allowOverlap="1" wp14:anchorId="70EC975F" wp14:editId="3F7818C3">
                  <wp:simplePos x="0" y="0"/>
                  <wp:positionH relativeFrom="column">
                    <wp:posOffset>-12597</wp:posOffset>
                  </wp:positionH>
                  <wp:positionV relativeFrom="paragraph">
                    <wp:posOffset>33005</wp:posOffset>
                  </wp:positionV>
                  <wp:extent cx="1700840" cy="1795780"/>
                  <wp:effectExtent l="0" t="0" r="0" b="0"/>
                  <wp:wrapNone/>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218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10383" cy="1805855"/>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PACTO DE SOSTENIBILIDAD-Horizontes</w:t>
            </w:r>
          </w:p>
        </w:tc>
      </w:tr>
    </w:tbl>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Avances en el inicio de 20 reparaciones locativas en Salones Comunales.</w:t>
      </w:r>
    </w:p>
    <w:p w:rsidR="002B0B09" w:rsidRPr="00CC51E2" w:rsidRDefault="002B0B09" w:rsidP="002B0B09">
      <w:pPr>
        <w:jc w:val="both"/>
        <w:rPr>
          <w:rFonts w:ascii="Arial" w:hAnsi="Arial" w:cs="Arial"/>
          <w:sz w:val="20"/>
          <w:szCs w:val="20"/>
        </w:rPr>
      </w:pPr>
      <w:r w:rsidRPr="00CC51E2">
        <w:rPr>
          <w:rFonts w:ascii="Arial" w:hAnsi="Arial" w:cs="Arial"/>
          <w:sz w:val="20"/>
          <w:szCs w:val="20"/>
        </w:rPr>
        <w:t>En el marco de los contratos No. 522, 518 y 519 de 2017, cuyo objeto está centrado en la Realización de Obras de Intervención Física a Escala barrial Consistentes en las Reparaciones Locativas Requeridas en los Salones Comunales, ubicados en las localidades de la Ciudad de Bogotá D.C., El equipo Social de la Caja de la Vivienda Popular realizó acercamiento en Reuniones Preliminares con los dignatarios de las Juntas de Acción Comunal para dar a conocer la selección y priorización del Salón Comunal.</w:t>
      </w:r>
    </w:p>
    <w:p w:rsidR="002B0B09" w:rsidRPr="00CC51E2" w:rsidRDefault="002B0B09" w:rsidP="002B0B09">
      <w:pPr>
        <w:jc w:val="both"/>
        <w:rPr>
          <w:rFonts w:ascii="Arial" w:hAnsi="Arial" w:cs="Arial"/>
          <w:sz w:val="20"/>
          <w:szCs w:val="20"/>
        </w:rPr>
      </w:pPr>
      <w:r w:rsidRPr="00CC51E2">
        <w:rPr>
          <w:rFonts w:ascii="Arial" w:hAnsi="Arial" w:cs="Arial"/>
          <w:sz w:val="20"/>
          <w:szCs w:val="20"/>
        </w:rPr>
        <w:t>Dando cumplimiento a las obligaciones por parte de los Contratistas ejecutores de las Obras, se realizó visitas de Reconocimiento de Obra para iniciar el proceso de interlocución con los dignatarios de las Juntas de Acción Comunal.</w:t>
      </w: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9440" behindDoc="1" locked="0" layoutInCell="1" allowOverlap="1" wp14:anchorId="7D5AD76A" wp14:editId="2106F0E6">
                  <wp:simplePos x="0" y="0"/>
                  <wp:positionH relativeFrom="column">
                    <wp:posOffset>421160</wp:posOffset>
                  </wp:positionH>
                  <wp:positionV relativeFrom="paragraph">
                    <wp:posOffset>-395390</wp:posOffset>
                  </wp:positionV>
                  <wp:extent cx="1739265" cy="2594610"/>
                  <wp:effectExtent l="0" t="8572" r="4762" b="4763"/>
                  <wp:wrapNone/>
                  <wp:docPr id="504" name="Imagen 504" descr="C:\Users\RTRamirez\AppData\Local\Microsoft\Windows\INetCache\Content.Word\20170929_10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TRamirez\AppData\Local\Microsoft\Windows\INetCache\Content.Word\20170929_10244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1739265" cy="2594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0464" behindDoc="1" locked="0" layoutInCell="1" allowOverlap="1" wp14:anchorId="225476E8" wp14:editId="1D626379">
                  <wp:simplePos x="0" y="0"/>
                  <wp:positionH relativeFrom="column">
                    <wp:posOffset>406400</wp:posOffset>
                  </wp:positionH>
                  <wp:positionV relativeFrom="paragraph">
                    <wp:posOffset>-402487</wp:posOffset>
                  </wp:positionV>
                  <wp:extent cx="1743710" cy="2617470"/>
                  <wp:effectExtent l="1270" t="0" r="0" b="0"/>
                  <wp:wrapNone/>
                  <wp:docPr id="505" name="Imagen 505" descr="C:\Users\RTRamirez\AppData\Local\Microsoft\Windows\INetCache\Content.Word\20170929_10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TRamirez\AppData\Local\Microsoft\Windows\INetCache\Content.Word\20170929_10384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1743710"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SALON COMUNAL EGIPTO ALTO Cont. 522 DE 201</w:t>
            </w:r>
          </w:p>
        </w:tc>
      </w:tr>
    </w:tbl>
    <w:p w:rsidR="002B0B09" w:rsidRPr="00CC51E2" w:rsidRDefault="002B0B09" w:rsidP="002B0B09">
      <w:pPr>
        <w:spacing w:after="0"/>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711488" behindDoc="1" locked="0" layoutInCell="1" allowOverlap="1" wp14:anchorId="628ECD7B" wp14:editId="1B6DCE30">
                  <wp:simplePos x="0" y="0"/>
                  <wp:positionH relativeFrom="column">
                    <wp:posOffset>-36269</wp:posOffset>
                  </wp:positionH>
                  <wp:positionV relativeFrom="paragraph">
                    <wp:posOffset>22181</wp:posOffset>
                  </wp:positionV>
                  <wp:extent cx="2594344" cy="1743581"/>
                  <wp:effectExtent l="0" t="0" r="0" b="9525"/>
                  <wp:wrapNone/>
                  <wp:docPr id="43" name="Imagen 43" descr="C:\Users\RTRamirez\AppData\Local\Microsoft\Windows\INetCache\Content.Word\20171002_09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RTRamirez\AppData\Local\Microsoft\Windows\INetCache\Content.Word\20171002_09491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10232" cy="17542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2512" behindDoc="1" locked="0" layoutInCell="1" allowOverlap="1" wp14:anchorId="5E8BCD7E" wp14:editId="3457549C">
                  <wp:simplePos x="0" y="0"/>
                  <wp:positionH relativeFrom="column">
                    <wp:posOffset>416243</wp:posOffset>
                  </wp:positionH>
                  <wp:positionV relativeFrom="paragraph">
                    <wp:posOffset>-393014</wp:posOffset>
                  </wp:positionV>
                  <wp:extent cx="1729740" cy="2603360"/>
                  <wp:effectExtent l="1587" t="0" r="5398" b="5397"/>
                  <wp:wrapNone/>
                  <wp:docPr id="44" name="Imagen 44" descr="C:\Users\RTRamirez\AppData\Local\Microsoft\Windows\INetCache\Content.Word\20171002_09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RTRamirez\AppData\Local\Microsoft\Windows\INetCache\Content.Word\20171002_09480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729740" cy="2603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SALON COMUNAL MILLAN Cont. 519-2017</w:t>
            </w:r>
          </w:p>
        </w:tc>
      </w:tr>
    </w:tbl>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3536" behindDoc="1" locked="0" layoutInCell="1" allowOverlap="1" wp14:anchorId="1555A57D" wp14:editId="11BA6476">
            <wp:simplePos x="0" y="0"/>
            <wp:positionH relativeFrom="column">
              <wp:posOffset>734377</wp:posOffset>
            </wp:positionH>
            <wp:positionV relativeFrom="paragraph">
              <wp:posOffset>-65087</wp:posOffset>
            </wp:positionV>
            <wp:extent cx="1755775" cy="2569210"/>
            <wp:effectExtent l="0" t="6667" r="9207" b="9208"/>
            <wp:wrapNone/>
            <wp:docPr id="46" name="Imagen 46" descr="C:\Users\RTRamirez\AppData\Local\Microsoft\Windows\INetCache\Content.Word\20170928_09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RTRamirez\AppData\Local\Microsoft\Windows\INetCache\Content.Word\20170928_09594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1755775" cy="256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noProof/>
          <w:sz w:val="20"/>
          <w:szCs w:val="20"/>
          <w:lang w:val="es-ES" w:eastAsia="es-ES"/>
        </w:rPr>
        <w:drawing>
          <wp:anchor distT="0" distB="0" distL="114300" distR="114300" simplePos="0" relativeHeight="251714560" behindDoc="1" locked="0" layoutInCell="1" allowOverlap="1" wp14:anchorId="36ACB140" wp14:editId="1A18A870">
            <wp:simplePos x="0" y="0"/>
            <wp:positionH relativeFrom="column">
              <wp:posOffset>3446463</wp:posOffset>
            </wp:positionH>
            <wp:positionV relativeFrom="paragraph">
              <wp:posOffset>-76518</wp:posOffset>
            </wp:positionV>
            <wp:extent cx="1744980" cy="2596515"/>
            <wp:effectExtent l="0" t="6668" r="953" b="952"/>
            <wp:wrapNone/>
            <wp:docPr id="47" name="Imagen 47" descr="C:\Users\RTRamirez\AppData\Local\Microsoft\Windows\INetCache\Content.Word\20170928_09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RTRamirez\AppData\Local\Microsoft\Windows\INetCache\Content.Word\20170928_0919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7449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SALON COMUNAL LISBOA CONT 518-2017</w:t>
            </w:r>
          </w:p>
        </w:tc>
      </w:tr>
    </w:tbl>
    <w:p w:rsidR="002B0B09" w:rsidRPr="00CC51E2" w:rsidRDefault="002B0B09" w:rsidP="002B0B09">
      <w:pPr>
        <w:tabs>
          <w:tab w:val="left" w:pos="2450"/>
        </w:tabs>
        <w:rPr>
          <w:rFonts w:ascii="Arial" w:hAnsi="Arial" w:cs="Arial"/>
          <w:sz w:val="20"/>
          <w:szCs w:val="20"/>
        </w:rPr>
      </w:pPr>
      <w:r w:rsidRPr="00CC51E2">
        <w:rPr>
          <w:rFonts w:ascii="Arial" w:hAnsi="Arial" w:cs="Arial"/>
          <w:sz w:val="20"/>
          <w:szCs w:val="20"/>
        </w:rPr>
        <w:t xml:space="preserve">                              </w:t>
      </w:r>
    </w:p>
    <w:p w:rsidR="002B0B09" w:rsidRPr="00CC51E2" w:rsidRDefault="002B0B09" w:rsidP="002B0B09">
      <w:pPr>
        <w:jc w:val="both"/>
        <w:rPr>
          <w:rFonts w:ascii="Arial" w:hAnsi="Arial" w:cs="Arial"/>
          <w:sz w:val="20"/>
          <w:szCs w:val="20"/>
        </w:rPr>
      </w:pPr>
      <w:r w:rsidRPr="00CC51E2">
        <w:rPr>
          <w:rFonts w:ascii="Arial" w:hAnsi="Arial" w:cs="Arial"/>
          <w:sz w:val="20"/>
          <w:szCs w:val="20"/>
        </w:rPr>
        <w:t xml:space="preserve">Durante esta vigencia se realizó las </w:t>
      </w:r>
      <w:r w:rsidRPr="00CC51E2">
        <w:rPr>
          <w:rFonts w:ascii="Arial" w:hAnsi="Arial" w:cs="Arial"/>
          <w:b/>
          <w:sz w:val="20"/>
          <w:szCs w:val="20"/>
        </w:rPr>
        <w:t>Reuniones de Inicio</w:t>
      </w:r>
      <w:r w:rsidRPr="00CC51E2">
        <w:rPr>
          <w:rFonts w:ascii="Arial" w:hAnsi="Arial" w:cs="Arial"/>
          <w:sz w:val="20"/>
          <w:szCs w:val="20"/>
        </w:rPr>
        <w:t xml:space="preserve"> en los 10 Salones Comunales que hacen parte de los contratos 518, 519 y 522 de 2017, los cuales marcan el punto de partida de la Intervención física. La actividad denominada “Reconociéndome como Comunidad” fortalece la Integración Comunitaria, la apropiación del territorio y el manejo de lo público.</w:t>
      </w:r>
    </w:p>
    <w:p w:rsidR="00C85A39" w:rsidRPr="00CC51E2" w:rsidRDefault="00C85A39" w:rsidP="002B0B09">
      <w:pPr>
        <w:jc w:val="center"/>
        <w:rPr>
          <w:rFonts w:ascii="Arial" w:hAnsi="Arial" w:cs="Arial"/>
          <w:b/>
          <w:sz w:val="20"/>
          <w:szCs w:val="20"/>
        </w:rPr>
      </w:pPr>
    </w:p>
    <w:p w:rsidR="00C85A39" w:rsidRPr="00CC51E2" w:rsidRDefault="00C85A39" w:rsidP="002B0B09">
      <w:pPr>
        <w:jc w:val="center"/>
        <w:rPr>
          <w:rFonts w:ascii="Arial" w:hAnsi="Arial" w:cs="Arial"/>
          <w:b/>
          <w:sz w:val="20"/>
          <w:szCs w:val="20"/>
        </w:rPr>
      </w:pPr>
    </w:p>
    <w:p w:rsidR="00C85A39" w:rsidRPr="00CC51E2" w:rsidRDefault="00C85A39" w:rsidP="002B0B09">
      <w:pPr>
        <w:jc w:val="center"/>
        <w:rPr>
          <w:rFonts w:ascii="Arial" w:hAnsi="Arial" w:cs="Arial"/>
          <w:b/>
          <w:sz w:val="20"/>
          <w:szCs w:val="20"/>
        </w:rPr>
      </w:pPr>
    </w:p>
    <w:p w:rsidR="00C85A39" w:rsidRPr="00CC51E2" w:rsidRDefault="00C85A3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W w:w="848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53"/>
        <w:gridCol w:w="4229"/>
      </w:tblGrid>
      <w:tr w:rsidR="002B0B09" w:rsidRPr="00CC51E2" w:rsidTr="00C85A39">
        <w:trPr>
          <w:trHeight w:val="3070"/>
          <w:jc w:val="center"/>
        </w:trPr>
        <w:tc>
          <w:tcPr>
            <w:tcW w:w="4253"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5584" behindDoc="1" locked="0" layoutInCell="1" allowOverlap="1" wp14:anchorId="3F028F67" wp14:editId="60443D87">
                  <wp:simplePos x="0" y="0"/>
                  <wp:positionH relativeFrom="column">
                    <wp:posOffset>-25636</wp:posOffset>
                  </wp:positionH>
                  <wp:positionV relativeFrom="paragraph">
                    <wp:posOffset>25592</wp:posOffset>
                  </wp:positionV>
                  <wp:extent cx="2610957" cy="1803400"/>
                  <wp:effectExtent l="0" t="0" r="0" b="6350"/>
                  <wp:wrapNone/>
                  <wp:docPr id="54" name="Imagen 54" descr="C:\Users\mcerqueras\AppData\Local\Microsoft\Windows\INetCache\Content.Word\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mcerqueras\AppData\Local\Microsoft\Windows\INetCache\Content.Word\IMG_389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10957" cy="180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6608" behindDoc="1" locked="0" layoutInCell="1" allowOverlap="1" wp14:anchorId="34F95F73" wp14:editId="5DCF9ED5">
                  <wp:simplePos x="0" y="0"/>
                  <wp:positionH relativeFrom="column">
                    <wp:posOffset>-26257</wp:posOffset>
                  </wp:positionH>
                  <wp:positionV relativeFrom="paragraph">
                    <wp:posOffset>46857</wp:posOffset>
                  </wp:positionV>
                  <wp:extent cx="2593990" cy="1792363"/>
                  <wp:effectExtent l="0" t="0" r="0" b="0"/>
                  <wp:wrapNone/>
                  <wp:docPr id="53" name="Imagen 53" descr="C:\Users\mcerqueras\AppData\Local\Microsoft\Windows\INetCache\Content.Word\IMG_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mcerqueras\AppData\Local\Microsoft\Windows\INetCache\Content.Word\IMG_39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7572" cy="18017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r>
      <w:tr w:rsidR="002B0B09" w:rsidRPr="00CC51E2" w:rsidTr="00315613">
        <w:trPr>
          <w:trHeight w:val="159"/>
          <w:jc w:val="center"/>
        </w:trPr>
        <w:tc>
          <w:tcPr>
            <w:tcW w:w="8482"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GRANADA SUR Cont. 522-2017</w:t>
            </w:r>
          </w:p>
        </w:tc>
      </w:tr>
    </w:tbl>
    <w:p w:rsidR="002B0B09" w:rsidRPr="00CC51E2" w:rsidRDefault="002B0B09" w:rsidP="002B0B09">
      <w:pPr>
        <w:rPr>
          <w:rFonts w:ascii="Arial" w:hAnsi="Arial" w:cs="Arial"/>
          <w:b/>
          <w:sz w:val="20"/>
          <w:szCs w:val="20"/>
        </w:rPr>
      </w:pPr>
    </w:p>
    <w:p w:rsidR="002B0B09" w:rsidRPr="00CC51E2" w:rsidRDefault="002B0B09" w:rsidP="002B0B09">
      <w:pPr>
        <w:spacing w:after="0"/>
        <w:rPr>
          <w:rFonts w:ascii="Arial" w:hAnsi="Arial" w:cs="Arial"/>
          <w:b/>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62"/>
        <w:gridCol w:w="4196"/>
      </w:tblGrid>
      <w:tr w:rsidR="002B0B09" w:rsidRPr="00CC51E2" w:rsidTr="00C85A39">
        <w:trPr>
          <w:trHeight w:val="3076"/>
          <w:jc w:val="center"/>
        </w:trPr>
        <w:tc>
          <w:tcPr>
            <w:tcW w:w="4262"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7632" behindDoc="1" locked="0" layoutInCell="1" allowOverlap="1" wp14:anchorId="010D4C57" wp14:editId="76365BDA">
                  <wp:simplePos x="0" y="0"/>
                  <wp:positionH relativeFrom="column">
                    <wp:posOffset>-18415</wp:posOffset>
                  </wp:positionH>
                  <wp:positionV relativeFrom="paragraph">
                    <wp:posOffset>23495</wp:posOffset>
                  </wp:positionV>
                  <wp:extent cx="2600325" cy="1771650"/>
                  <wp:effectExtent l="0" t="0" r="9525" b="0"/>
                  <wp:wrapNone/>
                  <wp:docPr id="52" name="Imagen 52" descr="C:\Users\mcerqueras\AppData\Local\Microsoft\Windows\INetCache\Content.Word\20171018_14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mcerqueras\AppData\Local\Microsoft\Windows\INetCache\Content.Word\20171018_1412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0032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c>
          <w:tcPr>
            <w:tcW w:w="4196"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8656" behindDoc="1" locked="0" layoutInCell="1" allowOverlap="1" wp14:anchorId="1E6EA785" wp14:editId="161D58EF">
                  <wp:simplePos x="0" y="0"/>
                  <wp:positionH relativeFrom="column">
                    <wp:posOffset>-25400</wp:posOffset>
                  </wp:positionH>
                  <wp:positionV relativeFrom="paragraph">
                    <wp:posOffset>20955</wp:posOffset>
                  </wp:positionV>
                  <wp:extent cx="2566035" cy="1827530"/>
                  <wp:effectExtent l="0" t="0" r="5715" b="1270"/>
                  <wp:wrapNone/>
                  <wp:docPr id="51" name="Imagen 51" descr="C:\Users\mcerqueras\AppData\Local\Microsoft\Windows\INetCache\Content.Word\20171018_14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mcerqueras\AppData\Local\Microsoft\Windows\INetCache\Content.Word\20171018_14280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6035" cy="1827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58"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EGIPTO ALTO Cont. 522-2017</w:t>
            </w:r>
          </w:p>
        </w:tc>
      </w:tr>
    </w:tbl>
    <w:p w:rsidR="002B0B09" w:rsidRPr="00CC51E2" w:rsidRDefault="002B0B0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51"/>
      </w:tblGrid>
      <w:tr w:rsidR="002B0B09" w:rsidRPr="00CC51E2" w:rsidTr="00C85A39">
        <w:trPr>
          <w:trHeight w:val="3316"/>
          <w:jc w:val="center"/>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720704" behindDoc="1" locked="0" layoutInCell="1" allowOverlap="1" wp14:anchorId="7EE98477" wp14:editId="5F8BB98C">
                  <wp:simplePos x="0" y="0"/>
                  <wp:positionH relativeFrom="column">
                    <wp:posOffset>-31115</wp:posOffset>
                  </wp:positionH>
                  <wp:positionV relativeFrom="paragraph">
                    <wp:posOffset>10160</wp:posOffset>
                  </wp:positionV>
                  <wp:extent cx="2600325" cy="2009140"/>
                  <wp:effectExtent l="0" t="0" r="9525" b="0"/>
                  <wp:wrapNone/>
                  <wp:docPr id="62" name="Imagen 62" descr="C:\Users\mcerqueras\AppData\Local\Microsoft\Windows\INetCache\Content.Word\20171020_1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mcerqueras\AppData\Local\Microsoft\Windows\INetCache\Content.Word\20171020_11042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0325" cy="200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tc>
        <w:tc>
          <w:tcPr>
            <w:tcW w:w="4251"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9680" behindDoc="1" locked="0" layoutInCell="1" allowOverlap="1" wp14:anchorId="0E5A147E" wp14:editId="30D0D714">
                  <wp:simplePos x="0" y="0"/>
                  <wp:positionH relativeFrom="column">
                    <wp:posOffset>-28575</wp:posOffset>
                  </wp:positionH>
                  <wp:positionV relativeFrom="paragraph">
                    <wp:posOffset>-8255</wp:posOffset>
                  </wp:positionV>
                  <wp:extent cx="2595245" cy="2008505"/>
                  <wp:effectExtent l="0" t="0" r="0" b="0"/>
                  <wp:wrapNone/>
                  <wp:docPr id="61" name="Imagen 61" descr="C:\Users\mcerqueras\AppData\Local\Microsoft\Windows\INetCache\Content.Word\20171020_11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mcerqueras\AppData\Local\Microsoft\Windows\INetCache\Content.Word\20171020_11123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95245" cy="2008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98"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MINUTO DE MARIA Cont. 519-2017</w:t>
            </w:r>
          </w:p>
        </w:tc>
      </w:tr>
    </w:tbl>
    <w:p w:rsidR="002B0B09" w:rsidRPr="00CC51E2" w:rsidRDefault="002B0B09" w:rsidP="002B0B09">
      <w:pPr>
        <w:spacing w:after="0"/>
        <w:rPr>
          <w:rFonts w:ascii="Arial" w:hAnsi="Arial" w:cs="Arial"/>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C85A39">
        <w:trPr>
          <w:trHeight w:val="3092"/>
          <w:jc w:val="center"/>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1728" behindDoc="1" locked="0" layoutInCell="1" allowOverlap="1" wp14:anchorId="56D7E1AC" wp14:editId="32F9614C">
                  <wp:simplePos x="0" y="0"/>
                  <wp:positionH relativeFrom="column">
                    <wp:posOffset>-31115</wp:posOffset>
                  </wp:positionH>
                  <wp:positionV relativeFrom="paragraph">
                    <wp:posOffset>24130</wp:posOffset>
                  </wp:positionV>
                  <wp:extent cx="2570480" cy="1818640"/>
                  <wp:effectExtent l="0" t="0" r="1270" b="0"/>
                  <wp:wrapNone/>
                  <wp:docPr id="60" name="Imagen 60" descr="C:\Users\mcerqueras\AppData\Local\Microsoft\Windows\INetCache\Content.Word\IMG_4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cerqueras\AppData\Local\Microsoft\Windows\INetCache\Content.Word\IMG_408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0480" cy="1818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tc>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2752" behindDoc="1" locked="0" layoutInCell="1" allowOverlap="1" wp14:anchorId="241663F9" wp14:editId="0A060640">
                  <wp:simplePos x="0" y="0"/>
                  <wp:positionH relativeFrom="column">
                    <wp:posOffset>-21590</wp:posOffset>
                  </wp:positionH>
                  <wp:positionV relativeFrom="paragraph">
                    <wp:posOffset>24130</wp:posOffset>
                  </wp:positionV>
                  <wp:extent cx="2573020" cy="1818640"/>
                  <wp:effectExtent l="0" t="0" r="0" b="0"/>
                  <wp:wrapNone/>
                  <wp:docPr id="59" name="Imagen 59" descr="C:\Users\mcerqueras\AppData\Local\Microsoft\Windows\INetCache\Content.Word\20171023_10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mcerqueras\AppData\Local\Microsoft\Windows\INetCache\Content.Word\20171023_10411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73020" cy="1818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94" w:type="dxa"/>
            <w:gridSpan w:val="2"/>
            <w:shd w:val="clear" w:color="auto" w:fill="auto"/>
          </w:tcPr>
          <w:p w:rsidR="002B0B09" w:rsidRPr="00CC51E2" w:rsidRDefault="002B0B09" w:rsidP="00315613">
            <w:pPr>
              <w:jc w:val="center"/>
              <w:rPr>
                <w:rFonts w:ascii="Arial" w:hAnsi="Arial" w:cs="Arial"/>
                <w:sz w:val="20"/>
                <w:szCs w:val="20"/>
              </w:rPr>
            </w:pPr>
            <w:r w:rsidRPr="00CC51E2">
              <w:rPr>
                <w:rFonts w:ascii="Arial" w:hAnsi="Arial" w:cs="Arial"/>
                <w:b/>
                <w:sz w:val="20"/>
                <w:szCs w:val="20"/>
              </w:rPr>
              <w:t>SALÓN COMUNAL ARGELIA Cont. 519-2017</w:t>
            </w:r>
          </w:p>
        </w:tc>
      </w:tr>
    </w:tbl>
    <w:p w:rsidR="002B0B09" w:rsidRPr="00CC51E2" w:rsidRDefault="002B0B09" w:rsidP="002B0B09">
      <w:pPr>
        <w:tabs>
          <w:tab w:val="left" w:pos="3624"/>
        </w:tabs>
        <w:jc w:val="both"/>
        <w:rPr>
          <w:rFonts w:ascii="Arial" w:hAnsi="Arial" w:cs="Arial"/>
          <w:b/>
          <w:sz w:val="20"/>
          <w:szCs w:val="20"/>
        </w:rPr>
      </w:pPr>
      <w:r w:rsidRPr="00CC51E2">
        <w:rPr>
          <w:rFonts w:ascii="Arial" w:hAnsi="Arial" w:cs="Arial"/>
          <w:b/>
          <w:sz w:val="20"/>
          <w:szCs w:val="20"/>
        </w:rPr>
        <w:tab/>
      </w:r>
    </w:p>
    <w:tbl>
      <w:tblPr>
        <w:tblW w:w="0" w:type="auto"/>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315613">
        <w:trPr>
          <w:trHeight w:val="3225"/>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3776" behindDoc="1" locked="0" layoutInCell="1" allowOverlap="1" wp14:anchorId="242A80F8" wp14:editId="0DA27B05">
                  <wp:simplePos x="0" y="0"/>
                  <wp:positionH relativeFrom="column">
                    <wp:posOffset>-36830</wp:posOffset>
                  </wp:positionH>
                  <wp:positionV relativeFrom="paragraph">
                    <wp:posOffset>10795</wp:posOffset>
                  </wp:positionV>
                  <wp:extent cx="2607945" cy="1998345"/>
                  <wp:effectExtent l="0" t="0" r="1905" b="1905"/>
                  <wp:wrapNone/>
                  <wp:docPr id="58" name="Imagen 58" descr="C:\Users\mcerqueras\AppData\Local\Microsoft\Windows\INetCache\Content.Word\IMG_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mcerqueras\AppData\Local\Microsoft\Windows\INetCache\Content.Word\IMG_388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07945" cy="19983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4800" behindDoc="1" locked="0" layoutInCell="1" allowOverlap="1" wp14:anchorId="2D5628E3" wp14:editId="5D6B5D89">
                  <wp:simplePos x="0" y="0"/>
                  <wp:positionH relativeFrom="column">
                    <wp:posOffset>-38100</wp:posOffset>
                  </wp:positionH>
                  <wp:positionV relativeFrom="paragraph">
                    <wp:posOffset>10795</wp:posOffset>
                  </wp:positionV>
                  <wp:extent cx="2595245" cy="1988185"/>
                  <wp:effectExtent l="0" t="0" r="0" b="0"/>
                  <wp:wrapNone/>
                  <wp:docPr id="57" name="Imagen 57" descr="C:\Users\mcerqueras\AppData\Local\Microsoft\Windows\INetCache\Content.Word\20171017_14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mcerqueras\AppData\Local\Microsoft\Windows\INetCache\Content.Word\20171017_14233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5245" cy="1988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trHeight w:val="316"/>
        </w:trPr>
        <w:tc>
          <w:tcPr>
            <w:tcW w:w="8494" w:type="dxa"/>
            <w:gridSpan w:val="2"/>
            <w:shd w:val="clear" w:color="auto" w:fill="auto"/>
          </w:tcPr>
          <w:p w:rsidR="002B0B09" w:rsidRPr="00CC51E2" w:rsidRDefault="002B0B09" w:rsidP="00315613">
            <w:pPr>
              <w:jc w:val="center"/>
              <w:rPr>
                <w:rFonts w:ascii="Arial" w:hAnsi="Arial" w:cs="Arial"/>
                <w:sz w:val="20"/>
                <w:szCs w:val="20"/>
              </w:rPr>
            </w:pPr>
            <w:r w:rsidRPr="00CC51E2">
              <w:rPr>
                <w:rFonts w:ascii="Arial" w:hAnsi="Arial" w:cs="Arial"/>
                <w:b/>
                <w:sz w:val="20"/>
                <w:szCs w:val="20"/>
              </w:rPr>
              <w:lastRenderedPageBreak/>
              <w:t>SALÓN COMUNAL LISBOA</w:t>
            </w:r>
            <w:r w:rsidRPr="00CC51E2">
              <w:rPr>
                <w:rFonts w:ascii="Arial" w:hAnsi="Arial" w:cs="Arial"/>
                <w:sz w:val="20"/>
                <w:szCs w:val="20"/>
              </w:rPr>
              <w:t xml:space="preserve"> Cont. 518-2017</w:t>
            </w:r>
          </w:p>
        </w:tc>
      </w:tr>
    </w:tbl>
    <w:p w:rsidR="002B0B09" w:rsidRPr="00CC51E2" w:rsidRDefault="002B0B09" w:rsidP="002B0B09">
      <w:pPr>
        <w:rPr>
          <w:rFonts w:ascii="Arial" w:hAnsi="Arial" w:cs="Arial"/>
          <w:b/>
          <w:sz w:val="20"/>
          <w:szCs w:val="20"/>
        </w:rPr>
      </w:pPr>
    </w:p>
    <w:tbl>
      <w:tblPr>
        <w:tblW w:w="0" w:type="auto"/>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C85A39">
        <w:trPr>
          <w:trHeight w:val="2976"/>
        </w:trPr>
        <w:tc>
          <w:tcPr>
            <w:tcW w:w="4247"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25824" behindDoc="1" locked="0" layoutInCell="1" allowOverlap="1" wp14:anchorId="7AF03F23" wp14:editId="6DB310E8">
                  <wp:simplePos x="0" y="0"/>
                  <wp:positionH relativeFrom="column">
                    <wp:posOffset>-31115</wp:posOffset>
                  </wp:positionH>
                  <wp:positionV relativeFrom="paragraph">
                    <wp:posOffset>12700</wp:posOffset>
                  </wp:positionV>
                  <wp:extent cx="2602230" cy="1811020"/>
                  <wp:effectExtent l="0" t="0" r="7620" b="0"/>
                  <wp:wrapNone/>
                  <wp:docPr id="56" name="Imagen 56" descr="C:\Users\mcerqueras\AppData\Local\Microsoft\Windows\INetCache\Content.Word\IMG_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mcerqueras\AppData\Local\Microsoft\Windows\INetCache\Content.Word\IMG_400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0223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c>
          <w:tcPr>
            <w:tcW w:w="4247"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26848" behindDoc="1" locked="0" layoutInCell="1" allowOverlap="1" wp14:anchorId="099C8367" wp14:editId="5469C847">
                  <wp:simplePos x="0" y="0"/>
                  <wp:positionH relativeFrom="column">
                    <wp:posOffset>-40640</wp:posOffset>
                  </wp:positionH>
                  <wp:positionV relativeFrom="paragraph">
                    <wp:posOffset>12065</wp:posOffset>
                  </wp:positionV>
                  <wp:extent cx="2626360" cy="1831975"/>
                  <wp:effectExtent l="0" t="0" r="2540" b="0"/>
                  <wp:wrapNone/>
                  <wp:docPr id="55" name="Imagen 55" descr="C:\Users\mcerqueras\AppData\Local\Microsoft\Windows\INetCache\Content.Word\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Users\mcerqueras\AppData\Local\Microsoft\Windows\INetCache\Content.Word\IMG_4010.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26360" cy="1831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c>
          <w:tcPr>
            <w:tcW w:w="8494"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VERBENAL Cont. 518-2017</w:t>
            </w:r>
          </w:p>
        </w:tc>
      </w:tr>
    </w:tbl>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C85A3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I</w:t>
      </w:r>
      <w:r w:rsidR="002B0B09" w:rsidRPr="00CC51E2">
        <w:rPr>
          <w:rFonts w:ascii="Arial" w:eastAsia="Times New Roman" w:hAnsi="Arial" w:cs="Arial"/>
          <w:b/>
          <w:sz w:val="20"/>
          <w:szCs w:val="20"/>
          <w:lang w:eastAsia="es-CO"/>
        </w:rPr>
        <w:t>dentificación de temas específicos de interés para la ciudadanía.</w:t>
      </w:r>
    </w:p>
    <w:p w:rsidR="002B0B09" w:rsidRPr="00CC51E2" w:rsidRDefault="002B0B09" w:rsidP="002B0B09">
      <w:pPr>
        <w:tabs>
          <w:tab w:val="left" w:pos="2450"/>
        </w:tabs>
        <w:rPr>
          <w:rFonts w:ascii="Arial" w:hAnsi="Arial" w:cs="Arial"/>
          <w:b/>
          <w:sz w:val="20"/>
          <w:szCs w:val="20"/>
        </w:rPr>
      </w:pPr>
      <w:r w:rsidRPr="00CC51E2">
        <w:rPr>
          <w:rFonts w:ascii="Arial" w:hAnsi="Arial" w:cs="Arial"/>
          <w:b/>
          <w:sz w:val="20"/>
          <w:szCs w:val="20"/>
        </w:rPr>
        <w:t>¿Cómo seleccionan las zonas a intervenir?</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La Caja de la Vivienda Popular, a través de la priorización en las instancias de coordinación denominadas mesas de mejoramiento integral liderado por la Secretaria Distrital del Hábitat (SDHT), como resultado de la focalización en los Territorios Con Oportunidad, define Áreas de Intervenciones Integrales (AII) y Áreas de Intervención Temprana (AIT), las cuales precisan los espacios donde deberán ejecutarse los componentes de mejoramiento integral.</w:t>
      </w:r>
    </w:p>
    <w:p w:rsidR="002B0B09" w:rsidRPr="00CC51E2" w:rsidRDefault="002B0B09" w:rsidP="002B0B09">
      <w:pPr>
        <w:tabs>
          <w:tab w:val="left" w:pos="2450"/>
        </w:tabs>
        <w:spacing w:after="0"/>
        <w:jc w:val="both"/>
        <w:rPr>
          <w:rFonts w:ascii="Arial" w:hAnsi="Arial" w:cs="Arial"/>
          <w:sz w:val="20"/>
          <w:szCs w:val="20"/>
        </w:rPr>
      </w:pP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lastRenderedPageBreak/>
        <w:t>La Caja de la Vivienda Popular a través del Proyecto de Inversión 208 Mejoramiento de Barrios, ejecuta las políticas y lineamientos de la Secretaría Distrital del Hábitat (SDHT).</w:t>
      </w:r>
    </w:p>
    <w:p w:rsidR="002B0B09" w:rsidRPr="00CC51E2" w:rsidRDefault="002B0B09" w:rsidP="002B0B09">
      <w:pPr>
        <w:tabs>
          <w:tab w:val="left" w:pos="2450"/>
        </w:tabs>
        <w:spacing w:after="0"/>
        <w:jc w:val="both"/>
        <w:rPr>
          <w:rFonts w:ascii="Arial" w:hAnsi="Arial" w:cs="Arial"/>
          <w:sz w:val="20"/>
          <w:szCs w:val="20"/>
        </w:rPr>
      </w:pP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La Dirección de Mejoramiento de Barrios atiende solicitudes de la comunidad con propuestas de intervenciones a ejecutar, las cuales inician con el análisis de los siguientes requisitos según el procedimiento de consultas públicas:</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1.  A través de Sistema Integrado de Georeferenciación (SIG), se identifica Sí la intervención solicitada se encuentra ubicada dentro de los territorios con oportunidad definidos por la Secretaría Distrital del Hábitat.</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2. Sí, cumple con el requisito anterior, se procede a realizar la consulta normativa y geoespacial con las entidades públicas para definir la afectación o reserva asignada a la intervención solicitada, lo cual genera un concepto de previalibilidad SIG.</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3. Sí, la intervención tiene concepto favorable SIG, se procede con la programación de la visita de reconocimiento In Situ, para la proyección de un concepto de previalidad técnico, SISOMA y Social.</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4. Sí, los conceptos son favorables, la solicitud de la comunidad se incluye en las propuestas de oportunidades de intervenciones a priorizar que presenta La Caja de la Vivienda Popular a la Secretaría Distrital del Hábitat, quien será la encarga de definir las intervenciones a ejecutar a través de la priorización.</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5. Sí, la intervención previabilizada es priorizada por la Secretaría Distrital del Hábitat, se inicia el trámite de asignación de recursos para la programación de la ejecución.</w:t>
      </w:r>
    </w:p>
    <w:p w:rsidR="002B0B09" w:rsidRPr="00CC51E2" w:rsidRDefault="002B0B09" w:rsidP="002B0B09">
      <w:pPr>
        <w:jc w:val="both"/>
        <w:rPr>
          <w:rFonts w:ascii="Arial" w:hAnsi="Arial" w:cs="Arial"/>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Default="002B0B09" w:rsidP="002B0B09">
      <w:pPr>
        <w:jc w:val="both"/>
        <w:rPr>
          <w:rFonts w:ascii="Arial" w:hAnsi="Arial" w:cs="Arial"/>
          <w:b/>
          <w:bCs/>
          <w:sz w:val="20"/>
          <w:szCs w:val="20"/>
        </w:rPr>
      </w:pPr>
    </w:p>
    <w:p w:rsidR="007A396B" w:rsidRDefault="007A396B" w:rsidP="002B0B09">
      <w:pPr>
        <w:jc w:val="both"/>
        <w:rPr>
          <w:rFonts w:ascii="Arial" w:hAnsi="Arial" w:cs="Arial"/>
          <w:b/>
          <w:bCs/>
          <w:sz w:val="20"/>
          <w:szCs w:val="20"/>
        </w:rPr>
      </w:pPr>
    </w:p>
    <w:p w:rsidR="007A396B" w:rsidRDefault="007A396B" w:rsidP="002B0B09">
      <w:pPr>
        <w:jc w:val="both"/>
        <w:rPr>
          <w:rFonts w:ascii="Arial" w:hAnsi="Arial" w:cs="Arial"/>
          <w:b/>
          <w:bCs/>
          <w:sz w:val="20"/>
          <w:szCs w:val="20"/>
        </w:rPr>
      </w:pPr>
    </w:p>
    <w:p w:rsidR="007A396B" w:rsidRDefault="007A396B" w:rsidP="002B0B09">
      <w:pPr>
        <w:jc w:val="both"/>
        <w:rPr>
          <w:rFonts w:ascii="Arial" w:hAnsi="Arial" w:cs="Arial"/>
          <w:b/>
          <w:bCs/>
          <w:sz w:val="20"/>
          <w:szCs w:val="20"/>
        </w:rPr>
      </w:pPr>
    </w:p>
    <w:p w:rsidR="007A396B" w:rsidRDefault="007A396B" w:rsidP="002B0B09">
      <w:pPr>
        <w:jc w:val="both"/>
        <w:rPr>
          <w:rFonts w:ascii="Arial" w:hAnsi="Arial" w:cs="Arial"/>
          <w:b/>
          <w:bCs/>
          <w:sz w:val="20"/>
          <w:szCs w:val="20"/>
        </w:rPr>
      </w:pPr>
    </w:p>
    <w:p w:rsidR="007A396B" w:rsidRDefault="007A396B" w:rsidP="002B0B09">
      <w:pPr>
        <w:jc w:val="both"/>
        <w:rPr>
          <w:rFonts w:ascii="Arial" w:hAnsi="Arial" w:cs="Arial"/>
          <w:b/>
          <w:bCs/>
          <w:sz w:val="20"/>
          <w:szCs w:val="20"/>
        </w:rPr>
      </w:pPr>
    </w:p>
    <w:p w:rsidR="007A396B" w:rsidRPr="00CC51E2" w:rsidRDefault="007A396B" w:rsidP="002B0B09">
      <w:pPr>
        <w:jc w:val="both"/>
        <w:rPr>
          <w:rFonts w:ascii="Arial" w:hAnsi="Arial" w:cs="Arial"/>
          <w:b/>
          <w:bCs/>
          <w:sz w:val="20"/>
          <w:szCs w:val="20"/>
        </w:rPr>
      </w:pP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7A396B" w:rsidRPr="00CC51E2" w:rsidRDefault="007A396B" w:rsidP="007A396B">
      <w:pPr>
        <w:spacing w:after="0"/>
        <w:jc w:val="center"/>
        <w:rPr>
          <w:rFonts w:ascii="Arial" w:hAnsi="Arial" w:cs="Arial"/>
          <w:b/>
          <w:sz w:val="20"/>
          <w:szCs w:val="20"/>
        </w:rPr>
      </w:pPr>
      <w:r w:rsidRPr="00CC51E2">
        <w:rPr>
          <w:rFonts w:ascii="Arial" w:hAnsi="Arial" w:cs="Arial"/>
          <w:b/>
          <w:sz w:val="20"/>
          <w:szCs w:val="20"/>
        </w:rPr>
        <w:t>DIRECCIÓN DE URBANIZACIONES Y TITULACIÓN</w:t>
      </w:r>
    </w:p>
    <w:p w:rsidR="007A396B" w:rsidRPr="00CC51E2" w:rsidRDefault="007A396B" w:rsidP="007A396B">
      <w:pPr>
        <w:spacing w:after="0"/>
        <w:jc w:val="both"/>
        <w:rPr>
          <w:rFonts w:ascii="Arial" w:hAnsi="Arial" w:cs="Arial"/>
          <w:b/>
          <w:sz w:val="20"/>
          <w:szCs w:val="20"/>
        </w:rPr>
      </w:pPr>
    </w:p>
    <w:p w:rsidR="007A396B" w:rsidRPr="00CC51E2" w:rsidRDefault="007A396B" w:rsidP="007A396B">
      <w:pPr>
        <w:spacing w:after="0"/>
        <w:jc w:val="both"/>
        <w:rPr>
          <w:rFonts w:ascii="Arial" w:hAnsi="Arial" w:cs="Arial"/>
          <w:b/>
          <w:sz w:val="20"/>
          <w:szCs w:val="20"/>
        </w:rPr>
      </w:pPr>
    </w:p>
    <w:p w:rsidR="007A396B" w:rsidRPr="00CC51E2" w:rsidRDefault="007A396B" w:rsidP="007A396B">
      <w:pPr>
        <w:spacing w:after="0"/>
        <w:jc w:val="both"/>
        <w:rPr>
          <w:rFonts w:ascii="Arial" w:hAnsi="Arial" w:cs="Arial"/>
          <w:b/>
          <w:sz w:val="20"/>
          <w:szCs w:val="20"/>
        </w:rPr>
      </w:pPr>
      <w:r w:rsidRPr="00CC51E2">
        <w:rPr>
          <w:rFonts w:ascii="Arial" w:hAnsi="Arial" w:cs="Arial"/>
          <w:b/>
          <w:sz w:val="20"/>
          <w:szCs w:val="20"/>
        </w:rPr>
        <w:t>PROYECTO DE INVERSIÓN 0471 – TITULACIÓN DE PREDIOS Y GESTIÓN DE URBANIZACIONES</w:t>
      </w:r>
    </w:p>
    <w:p w:rsidR="007A396B" w:rsidRPr="00CC51E2" w:rsidRDefault="007A396B" w:rsidP="007A396B">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7A396B" w:rsidRPr="00CC51E2" w:rsidRDefault="007A396B" w:rsidP="007A396B">
      <w:pPr>
        <w:spacing w:after="0"/>
        <w:jc w:val="both"/>
        <w:rPr>
          <w:rFonts w:ascii="Arial" w:hAnsi="Arial" w:cs="Arial"/>
          <w:sz w:val="20"/>
          <w:szCs w:val="20"/>
        </w:rPr>
      </w:pP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Eje: 02 – Democracia Urbana</w:t>
      </w: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Programa: 14 – Intervenciones integrales del Hábitat</w:t>
      </w: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Proyecto Estratégico: Intervenciones integrales del Hábitat</w:t>
      </w:r>
    </w:p>
    <w:p w:rsidR="007A396B" w:rsidRPr="00CC51E2" w:rsidRDefault="007A396B" w:rsidP="007A396B">
      <w:pPr>
        <w:jc w:val="both"/>
        <w:rPr>
          <w:rFonts w:ascii="Arial" w:hAnsi="Arial" w:cs="Arial"/>
          <w:sz w:val="20"/>
          <w:szCs w:val="20"/>
        </w:rPr>
      </w:pPr>
    </w:p>
    <w:p w:rsidR="007A396B" w:rsidRDefault="007A396B" w:rsidP="007A396B">
      <w:pPr>
        <w:jc w:val="both"/>
        <w:rPr>
          <w:rFonts w:ascii="Arial" w:hAnsi="Arial" w:cs="Arial"/>
          <w:sz w:val="20"/>
          <w:szCs w:val="20"/>
        </w:rPr>
      </w:pPr>
      <w:r w:rsidRPr="00CC51E2">
        <w:rPr>
          <w:rFonts w:ascii="Arial" w:hAnsi="Arial" w:cs="Arial"/>
          <w:sz w:val="20"/>
          <w:szCs w:val="20"/>
        </w:rPr>
        <w:t>OBJETIVO: 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w:t>
      </w:r>
    </w:p>
    <w:p w:rsidR="007A396B"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Ejecución Presupuestal</w:t>
      </w:r>
    </w:p>
    <w:tbl>
      <w:tblPr>
        <w:tblW w:w="9706" w:type="dxa"/>
        <w:tblInd w:w="70" w:type="dxa"/>
        <w:tblLayout w:type="fixed"/>
        <w:tblCellMar>
          <w:left w:w="70" w:type="dxa"/>
          <w:right w:w="70" w:type="dxa"/>
        </w:tblCellMar>
        <w:tblLook w:val="04A0" w:firstRow="1" w:lastRow="0" w:firstColumn="1" w:lastColumn="0" w:noHBand="0" w:noVBand="1"/>
      </w:tblPr>
      <w:tblGrid>
        <w:gridCol w:w="1560"/>
        <w:gridCol w:w="708"/>
        <w:gridCol w:w="1485"/>
        <w:gridCol w:w="1559"/>
        <w:gridCol w:w="709"/>
        <w:gridCol w:w="1559"/>
        <w:gridCol w:w="1559"/>
        <w:gridCol w:w="567"/>
      </w:tblGrid>
      <w:tr w:rsidR="007A396B" w:rsidRPr="00981D0A" w:rsidTr="006E635E">
        <w:trPr>
          <w:trHeight w:val="300"/>
        </w:trPr>
        <w:tc>
          <w:tcPr>
            <w:tcW w:w="1560" w:type="dxa"/>
            <w:vMerge w:val="restart"/>
            <w:tcBorders>
              <w:top w:val="single" w:sz="4" w:space="0" w:color="auto"/>
              <w:left w:val="single" w:sz="4" w:space="0" w:color="auto"/>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Proyecto de inversión</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Año</w:t>
            </w:r>
          </w:p>
        </w:tc>
        <w:tc>
          <w:tcPr>
            <w:tcW w:w="3753" w:type="dxa"/>
            <w:gridSpan w:val="3"/>
            <w:tcBorders>
              <w:top w:val="single" w:sz="4" w:space="0" w:color="auto"/>
              <w:left w:val="nil"/>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Presupuesto Vigencia</w:t>
            </w:r>
          </w:p>
        </w:tc>
        <w:tc>
          <w:tcPr>
            <w:tcW w:w="3685" w:type="dxa"/>
            <w:gridSpan w:val="3"/>
            <w:tcBorders>
              <w:top w:val="single" w:sz="4" w:space="0" w:color="auto"/>
              <w:left w:val="nil"/>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Reserva</w:t>
            </w:r>
          </w:p>
        </w:tc>
      </w:tr>
      <w:tr w:rsidR="007A396B" w:rsidRPr="00981D0A" w:rsidTr="006E635E">
        <w:trPr>
          <w:trHeight w:val="300"/>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7A396B" w:rsidRPr="00981D0A" w:rsidRDefault="007A396B" w:rsidP="006E635E">
            <w:pPr>
              <w:rPr>
                <w:rFonts w:ascii="Arial" w:eastAsia="Times New Roman" w:hAnsi="Arial" w:cs="Arial"/>
                <w:color w:val="000000"/>
                <w:sz w:val="20"/>
                <w:szCs w:val="20"/>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7A396B" w:rsidRPr="00981D0A" w:rsidRDefault="007A396B" w:rsidP="006E635E">
            <w:pPr>
              <w:rPr>
                <w:rFonts w:ascii="Arial" w:eastAsia="Times New Roman" w:hAnsi="Arial" w:cs="Arial"/>
                <w:color w:val="000000"/>
                <w:sz w:val="20"/>
                <w:szCs w:val="20"/>
              </w:rPr>
            </w:pPr>
          </w:p>
        </w:tc>
        <w:tc>
          <w:tcPr>
            <w:tcW w:w="1485"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Programado </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Comprometido </w:t>
            </w:r>
          </w:p>
        </w:tc>
        <w:tc>
          <w:tcPr>
            <w:tcW w:w="70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Ejecución</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Valor Definitivo </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Valor Girado </w:t>
            </w:r>
          </w:p>
        </w:tc>
        <w:tc>
          <w:tcPr>
            <w:tcW w:w="567"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Ejecución</w:t>
            </w:r>
          </w:p>
        </w:tc>
      </w:tr>
      <w:tr w:rsidR="007A396B" w:rsidRPr="00981D0A" w:rsidTr="006E635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3-3-1-15-02-14-0471-134</w:t>
            </w:r>
          </w:p>
        </w:tc>
        <w:tc>
          <w:tcPr>
            <w:tcW w:w="708"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2016</w:t>
            </w:r>
          </w:p>
        </w:tc>
        <w:tc>
          <w:tcPr>
            <w:tcW w:w="1485"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3.753.534.997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3.139.687.843   </w:t>
            </w:r>
          </w:p>
        </w:tc>
        <w:tc>
          <w:tcPr>
            <w:tcW w:w="70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84%</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2.094.504.309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1.711.507.867   </w:t>
            </w:r>
          </w:p>
        </w:tc>
        <w:tc>
          <w:tcPr>
            <w:tcW w:w="567"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82%</w:t>
            </w:r>
          </w:p>
        </w:tc>
      </w:tr>
      <w:tr w:rsidR="007A396B" w:rsidRPr="00981D0A" w:rsidTr="006E635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3-3-1-15-02-14-0471-134</w:t>
            </w:r>
          </w:p>
        </w:tc>
        <w:tc>
          <w:tcPr>
            <w:tcW w:w="708"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2017</w:t>
            </w:r>
          </w:p>
        </w:tc>
        <w:tc>
          <w:tcPr>
            <w:tcW w:w="1485"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6.333.448.814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5.193.625.727   </w:t>
            </w:r>
          </w:p>
        </w:tc>
        <w:tc>
          <w:tcPr>
            <w:tcW w:w="70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82%</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N/A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N/A </w:t>
            </w:r>
          </w:p>
        </w:tc>
        <w:tc>
          <w:tcPr>
            <w:tcW w:w="567"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w:t>
            </w: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t>Fuente Predis Octubre de 2017</w:t>
      </w:r>
    </w:p>
    <w:p w:rsidR="007A396B" w:rsidRPr="00CC51E2" w:rsidRDefault="007A396B" w:rsidP="007A396B">
      <w:pPr>
        <w:jc w:val="both"/>
        <w:rPr>
          <w:rFonts w:ascii="Arial" w:hAnsi="Arial" w:cs="Arial"/>
          <w:sz w:val="20"/>
          <w:szCs w:val="20"/>
        </w:rPr>
      </w:pPr>
      <w:r w:rsidRPr="00CC51E2">
        <w:rPr>
          <w:rFonts w:ascii="Arial" w:hAnsi="Arial" w:cs="Arial"/>
          <w:sz w:val="20"/>
          <w:szCs w:val="20"/>
        </w:rPr>
        <w:t>La ejecución presupuestal para el año 2017 se presenta con corte a octubre 31.</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lastRenderedPageBreak/>
        <w:t>Ejecución de metas del proyecto de inversión</w:t>
      </w:r>
    </w:p>
    <w:p w:rsidR="007A396B" w:rsidRPr="00CC51E2" w:rsidRDefault="007A396B" w:rsidP="007A396B">
      <w:pPr>
        <w:jc w:val="both"/>
        <w:rPr>
          <w:rFonts w:ascii="Arial" w:hAnsi="Arial" w:cs="Arial"/>
          <w:sz w:val="20"/>
          <w:szCs w:val="20"/>
        </w:rPr>
      </w:pPr>
      <w:r w:rsidRPr="00CC51E2">
        <w:rPr>
          <w:rFonts w:ascii="Arial" w:hAnsi="Arial" w:cs="Arial"/>
          <w:sz w:val="20"/>
          <w:szCs w:val="20"/>
        </w:rPr>
        <w:t>Dentro del Plan de Desarrollo Bogotá Mejor Para Todos, el proyecto de inversión 471 se fijó 3 metas para el cuatrienio 2016 – 2020 así: i) Titular 10.000 predios. ii) Entregar 8 zonas de cesión, iii) Hacer cierre de 7 proyectos constructivos y de urbanismo para vivienda VIP.</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134"/>
        <w:gridCol w:w="1276"/>
        <w:gridCol w:w="1276"/>
        <w:gridCol w:w="2970"/>
      </w:tblGrid>
      <w:tr w:rsidR="007A396B" w:rsidRPr="00CC51E2" w:rsidTr="006E635E">
        <w:trPr>
          <w:trHeight w:val="318"/>
          <w:tblHeader/>
          <w:jc w:val="center"/>
        </w:trPr>
        <w:tc>
          <w:tcPr>
            <w:tcW w:w="1838"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Meta PDD y/o Proyecto de Inversión</w:t>
            </w:r>
          </w:p>
        </w:tc>
        <w:tc>
          <w:tcPr>
            <w:tcW w:w="1134"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Prog. 2016 - 2017</w:t>
            </w:r>
          </w:p>
        </w:tc>
        <w:tc>
          <w:tcPr>
            <w:tcW w:w="1276"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Ejec. 2016 - 2017</w:t>
            </w:r>
          </w:p>
        </w:tc>
        <w:tc>
          <w:tcPr>
            <w:tcW w:w="1276"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 Ejec.</w:t>
            </w:r>
          </w:p>
        </w:tc>
        <w:tc>
          <w:tcPr>
            <w:tcW w:w="2970" w:type="dxa"/>
            <w:shd w:val="clear" w:color="auto" w:fill="B8CCE4"/>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Observaciones</w:t>
            </w:r>
          </w:p>
        </w:tc>
      </w:tr>
      <w:tr w:rsidR="007A396B" w:rsidRPr="00CC51E2" w:rsidTr="006E635E">
        <w:trPr>
          <w:trHeight w:val="234"/>
          <w:tblHeader/>
          <w:jc w:val="center"/>
        </w:trPr>
        <w:tc>
          <w:tcPr>
            <w:tcW w:w="1838" w:type="dxa"/>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Titular 10.000 predios</w:t>
            </w:r>
          </w:p>
        </w:tc>
        <w:tc>
          <w:tcPr>
            <w:tcW w:w="1134"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3.001</w:t>
            </w:r>
          </w:p>
        </w:tc>
        <w:tc>
          <w:tcPr>
            <w:tcW w:w="1276"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1681</w:t>
            </w:r>
          </w:p>
        </w:tc>
        <w:tc>
          <w:tcPr>
            <w:tcW w:w="1276"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56.01%</w:t>
            </w:r>
          </w:p>
        </w:tc>
        <w:tc>
          <w:tcPr>
            <w:tcW w:w="2970" w:type="dxa"/>
            <w:shd w:val="clear" w:color="auto" w:fill="FDE9D9"/>
          </w:tcPr>
          <w:p w:rsidR="007A396B" w:rsidRPr="00CC51E2" w:rsidRDefault="007A396B" w:rsidP="006E635E">
            <w:pPr>
              <w:autoSpaceDN w:val="0"/>
              <w:spacing w:after="0" w:line="240" w:lineRule="auto"/>
              <w:jc w:val="center"/>
              <w:rPr>
                <w:rFonts w:ascii="Arial" w:hAnsi="Arial" w:cs="Arial"/>
                <w:sz w:val="20"/>
                <w:szCs w:val="20"/>
              </w:rPr>
            </w:pPr>
          </w:p>
        </w:tc>
      </w:tr>
      <w:tr w:rsidR="007A396B" w:rsidRPr="00CC51E2" w:rsidTr="006E635E">
        <w:trPr>
          <w:trHeight w:val="196"/>
          <w:tblHeader/>
          <w:jc w:val="center"/>
        </w:trPr>
        <w:tc>
          <w:tcPr>
            <w:tcW w:w="1838" w:type="dxa"/>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eastAsia="Times New Roman" w:hAnsi="Arial" w:cs="Arial"/>
                <w:bCs/>
                <w:sz w:val="20"/>
                <w:szCs w:val="20"/>
                <w:lang w:eastAsia="es-CO"/>
              </w:rPr>
              <w:t>Entregar 8 zonas de cesión</w:t>
            </w:r>
          </w:p>
        </w:tc>
        <w:tc>
          <w:tcPr>
            <w:tcW w:w="1134"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4</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2</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50%</w:t>
            </w:r>
          </w:p>
        </w:tc>
        <w:tc>
          <w:tcPr>
            <w:tcW w:w="2970" w:type="dxa"/>
            <w:shd w:val="clear" w:color="auto" w:fill="FDE9D9"/>
            <w:vAlign w:val="bottom"/>
          </w:tcPr>
          <w:p w:rsidR="007A396B" w:rsidRPr="00CC51E2" w:rsidRDefault="007A396B" w:rsidP="006E635E">
            <w:pPr>
              <w:autoSpaceDN w:val="0"/>
              <w:spacing w:after="0" w:line="240" w:lineRule="auto"/>
              <w:jc w:val="center"/>
              <w:rPr>
                <w:rFonts w:ascii="Arial" w:eastAsia="Arial" w:hAnsi="Arial" w:cs="Arial"/>
                <w:sz w:val="20"/>
                <w:szCs w:val="20"/>
                <w:highlight w:val="red"/>
              </w:rPr>
            </w:pPr>
            <w:r w:rsidRPr="00CC51E2">
              <w:rPr>
                <w:rFonts w:ascii="Arial" w:eastAsia="Times New Roman" w:hAnsi="Arial" w:cs="Arial"/>
                <w:bCs/>
                <w:sz w:val="20"/>
                <w:szCs w:val="20"/>
                <w:lang w:eastAsia="es-CO"/>
              </w:rPr>
              <w:t>Se entregaron Bonanza en el 2016 y Sierra Morena en el 2017.</w:t>
            </w:r>
          </w:p>
        </w:tc>
      </w:tr>
      <w:tr w:rsidR="007A396B" w:rsidRPr="00CC51E2" w:rsidTr="006E635E">
        <w:trPr>
          <w:trHeight w:val="454"/>
          <w:tblHeader/>
          <w:jc w:val="center"/>
        </w:trPr>
        <w:tc>
          <w:tcPr>
            <w:tcW w:w="1838" w:type="dxa"/>
            <w:vAlign w:val="center"/>
          </w:tcPr>
          <w:p w:rsidR="007A396B" w:rsidRPr="00CC51E2" w:rsidRDefault="007A396B" w:rsidP="006E635E">
            <w:pPr>
              <w:autoSpaceDN w:val="0"/>
              <w:spacing w:after="0" w:line="240" w:lineRule="auto"/>
              <w:jc w:val="center"/>
              <w:rPr>
                <w:rFonts w:ascii="Arial" w:eastAsia="Times New Roman" w:hAnsi="Arial" w:cs="Arial"/>
                <w:bCs/>
                <w:sz w:val="20"/>
                <w:szCs w:val="20"/>
                <w:lang w:eastAsia="es-CO"/>
              </w:rPr>
            </w:pPr>
            <w:r w:rsidRPr="00CC51E2">
              <w:rPr>
                <w:rFonts w:ascii="Arial" w:eastAsia="Times New Roman" w:hAnsi="Arial" w:cs="Arial"/>
                <w:bCs/>
                <w:sz w:val="20"/>
                <w:szCs w:val="20"/>
                <w:lang w:eastAsia="es-CO"/>
              </w:rPr>
              <w:t>Hacer el cierre de 7 Proyectos constructivos y de urbanismo para Vivienda VIP</w:t>
            </w:r>
          </w:p>
        </w:tc>
        <w:tc>
          <w:tcPr>
            <w:tcW w:w="1134"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4</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3</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75%</w:t>
            </w:r>
          </w:p>
        </w:tc>
        <w:tc>
          <w:tcPr>
            <w:tcW w:w="2970" w:type="dxa"/>
            <w:shd w:val="clear" w:color="auto" w:fill="FDE9D9"/>
            <w:vAlign w:val="bottom"/>
          </w:tcPr>
          <w:p w:rsidR="007A396B" w:rsidRPr="00CC51E2" w:rsidRDefault="007A396B" w:rsidP="006E635E">
            <w:pPr>
              <w:autoSpaceDN w:val="0"/>
              <w:spacing w:after="0" w:line="240" w:lineRule="auto"/>
              <w:jc w:val="center"/>
              <w:rPr>
                <w:rFonts w:ascii="Arial" w:eastAsia="Times New Roman" w:hAnsi="Arial" w:cs="Arial"/>
                <w:bCs/>
                <w:sz w:val="20"/>
                <w:szCs w:val="20"/>
                <w:lang w:eastAsia="es-CO"/>
              </w:rPr>
            </w:pPr>
            <w:r w:rsidRPr="00CC51E2">
              <w:rPr>
                <w:rFonts w:ascii="Arial" w:eastAsia="Times New Roman" w:hAnsi="Arial" w:cs="Arial"/>
                <w:bCs/>
                <w:sz w:val="20"/>
                <w:szCs w:val="20"/>
                <w:lang w:eastAsia="es-CO"/>
              </w:rPr>
              <w:t>Se logró el cierre de 3 urbanizaciones, Candelaria la Nueva Etapa II, Porvenir Man 55 y Arborizadora Manzana 65 para el año 2016.</w:t>
            </w:r>
          </w:p>
          <w:p w:rsidR="007A396B" w:rsidRPr="00CC51E2" w:rsidRDefault="007A396B" w:rsidP="006E635E">
            <w:pPr>
              <w:spacing w:line="0" w:lineRule="atLeast"/>
              <w:jc w:val="center"/>
              <w:rPr>
                <w:rFonts w:ascii="Arial" w:eastAsia="Arial" w:hAnsi="Arial" w:cs="Arial"/>
                <w:w w:val="99"/>
                <w:sz w:val="20"/>
                <w:szCs w:val="20"/>
                <w:highlight w:val="red"/>
              </w:rPr>
            </w:pP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            Fuente: Informe seguimiento proyecto de inversión con corte a 31-Octubre de 2017</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t>META 1. TITULACIÓN DE PREDIOS</w:t>
      </w:r>
    </w:p>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En la meta de titulación de predios, en ejecución del plan de Desarrollo Bogotá Mejor para Todos, se han beneficiado en las vigencias 2016 y 2017 un total de 1681 familias, correspondientes a 5.380 personas aproximadamente, en donde la mayoría se encuentra ubicada en la Localidad de Ciudad Bolívar. </w:t>
      </w:r>
    </w:p>
    <w:p w:rsidR="007A396B" w:rsidRPr="00CC51E2" w:rsidRDefault="007A396B" w:rsidP="007A396B">
      <w:pPr>
        <w:jc w:val="both"/>
        <w:rPr>
          <w:rFonts w:ascii="Arial" w:hAnsi="Arial" w:cs="Arial"/>
          <w:sz w:val="20"/>
          <w:szCs w:val="20"/>
        </w:rPr>
      </w:pPr>
      <w:r w:rsidRPr="00CC51E2">
        <w:rPr>
          <w:rFonts w:ascii="Arial" w:hAnsi="Arial" w:cs="Arial"/>
          <w:sz w:val="20"/>
          <w:szCs w:val="20"/>
        </w:rPr>
        <w:t>Durante la vigencia 2016 y 2017 se titularon 1681 predios, obtenidos así:</w:t>
      </w:r>
      <w:r w:rsidRPr="00CC51E2">
        <w:rPr>
          <w:rFonts w:ascii="Arial" w:hAnsi="Arial" w:cs="Arial"/>
          <w:sz w:val="20"/>
          <w:szCs w:val="20"/>
        </w:rPr>
        <w:fldChar w:fldCharType="begin"/>
      </w:r>
      <w:r w:rsidRPr="00CC51E2">
        <w:rPr>
          <w:rFonts w:ascii="Arial" w:hAnsi="Arial" w:cs="Arial"/>
          <w:sz w:val="20"/>
          <w:szCs w:val="20"/>
        </w:rPr>
        <w:instrText xml:space="preserve"> LINK </w:instrText>
      </w:r>
      <w:r>
        <w:rPr>
          <w:rFonts w:ascii="Arial" w:hAnsi="Arial" w:cs="Arial"/>
          <w:sz w:val="20"/>
          <w:szCs w:val="20"/>
        </w:rPr>
        <w:instrText xml:space="preserve">Excel.Sheet.12 "C:\\Users\\yjlizarazo\\Downloads\\titulos 2016-2017 BMT.xlsx" Hoja5!F3C1:F15C2 </w:instrText>
      </w:r>
      <w:r w:rsidRPr="00CC51E2">
        <w:rPr>
          <w:rFonts w:ascii="Arial" w:hAnsi="Arial" w:cs="Arial"/>
          <w:sz w:val="20"/>
          <w:szCs w:val="20"/>
        </w:rPr>
        <w:instrText xml:space="preserve">\a \f 5 \h  \* MERGEFORMAT </w:instrText>
      </w:r>
      <w:r w:rsidRPr="00CC51E2">
        <w:rPr>
          <w:rFonts w:ascii="Arial" w:hAnsi="Arial" w:cs="Arial"/>
          <w:sz w:val="20"/>
          <w:szCs w:val="20"/>
        </w:rPr>
        <w:fldChar w:fldCharType="separate"/>
      </w:r>
    </w:p>
    <w:tbl>
      <w:tblPr>
        <w:tblStyle w:val="Tablaconcuadrcula"/>
        <w:tblW w:w="3680" w:type="dxa"/>
        <w:jc w:val="center"/>
        <w:tblLook w:val="04A0" w:firstRow="1" w:lastRow="0" w:firstColumn="1" w:lastColumn="0" w:noHBand="0" w:noVBand="1"/>
      </w:tblPr>
      <w:tblGrid>
        <w:gridCol w:w="2260"/>
        <w:gridCol w:w="1420"/>
      </w:tblGrid>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Localidad</w:t>
            </w:r>
          </w:p>
        </w:tc>
        <w:tc>
          <w:tcPr>
            <w:tcW w:w="1420" w:type="dxa"/>
            <w:noWrap/>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 xml:space="preserve">No. </w:t>
            </w:r>
            <w:r w:rsidR="006E635E" w:rsidRPr="00CC51E2">
              <w:rPr>
                <w:rFonts w:ascii="Arial" w:hAnsi="Arial" w:cs="Arial"/>
                <w:b/>
                <w:bCs/>
                <w:sz w:val="20"/>
                <w:szCs w:val="20"/>
              </w:rPr>
              <w:t>Títulos</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02 CHAPINERO</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45</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03 SANTA FE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16</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04 SAN CRISTOBAL</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11</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05 USME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32</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06 TUNJUELITO</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07 BOSA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18</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08 KENNEDY</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15</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11 SUBA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16 PUENTE ARANDA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18 RAFAEL URIBE URIBE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33</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19 CIUDAD BOLIVAR</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1502</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Total General</w:t>
            </w:r>
          </w:p>
        </w:tc>
        <w:tc>
          <w:tcPr>
            <w:tcW w:w="1420" w:type="dxa"/>
            <w:noWrap/>
            <w:hideMark/>
          </w:tcPr>
          <w:p w:rsidR="007A396B" w:rsidRPr="00CC51E2" w:rsidRDefault="007A396B" w:rsidP="006E635E">
            <w:pPr>
              <w:spacing w:after="0" w:line="240" w:lineRule="auto"/>
              <w:jc w:val="right"/>
              <w:rPr>
                <w:rFonts w:ascii="Arial" w:hAnsi="Arial" w:cs="Arial"/>
                <w:b/>
                <w:bCs/>
                <w:sz w:val="20"/>
                <w:szCs w:val="20"/>
              </w:rPr>
            </w:pPr>
            <w:r w:rsidRPr="00CC51E2">
              <w:rPr>
                <w:rFonts w:ascii="Arial" w:hAnsi="Arial" w:cs="Arial"/>
                <w:b/>
                <w:bCs/>
                <w:sz w:val="20"/>
                <w:szCs w:val="20"/>
              </w:rPr>
              <w:t>1681</w:t>
            </w: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lastRenderedPageBreak/>
        <w:fldChar w:fldCharType="end"/>
      </w:r>
      <w:r w:rsidRPr="00CC51E2">
        <w:rPr>
          <w:rFonts w:ascii="Arial" w:hAnsi="Arial" w:cs="Arial"/>
          <w:noProof/>
          <w:sz w:val="20"/>
          <w:szCs w:val="20"/>
          <w:lang w:val="es-ES" w:eastAsia="es-ES"/>
        </w:rPr>
        <w:drawing>
          <wp:anchor distT="0" distB="0" distL="114300" distR="114300" simplePos="0" relativeHeight="251741184" behindDoc="1" locked="0" layoutInCell="1" allowOverlap="1" wp14:anchorId="603457A0" wp14:editId="53127E79">
            <wp:simplePos x="0" y="0"/>
            <wp:positionH relativeFrom="margin">
              <wp:posOffset>279832</wp:posOffset>
            </wp:positionH>
            <wp:positionV relativeFrom="paragraph">
              <wp:posOffset>172060</wp:posOffset>
            </wp:positionV>
            <wp:extent cx="4637405" cy="3241675"/>
            <wp:effectExtent l="0" t="0" r="0" b="0"/>
            <wp:wrapTight wrapText="bothSides">
              <wp:wrapPolygon edited="0">
                <wp:start x="0" y="0"/>
                <wp:lineTo x="0" y="21452"/>
                <wp:lineTo x="21473" y="21452"/>
                <wp:lineTo x="21473"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37405" cy="3241675"/>
                    </a:xfrm>
                    <a:prstGeom prst="rect">
                      <a:avLst/>
                    </a:prstGeom>
                    <a:noFill/>
                  </pic:spPr>
                </pic:pic>
              </a:graphicData>
            </a:graphic>
            <wp14:sizeRelH relativeFrom="page">
              <wp14:pctWidth>0</wp14:pctWidth>
            </wp14:sizeRelH>
            <wp14:sizeRelV relativeFrom="page">
              <wp14:pctHeight>0</wp14:pctHeight>
            </wp14:sizeRelV>
          </wp:anchor>
        </w:drawing>
      </w:r>
    </w:p>
    <w:p w:rsidR="007A396B" w:rsidRPr="00CC51E2" w:rsidRDefault="007A396B" w:rsidP="007A396B">
      <w:pPr>
        <w:tabs>
          <w:tab w:val="left" w:pos="6094"/>
        </w:tabs>
        <w:jc w:val="both"/>
        <w:rPr>
          <w:rFonts w:ascii="Arial" w:hAnsi="Arial" w:cs="Arial"/>
          <w:sz w:val="20"/>
          <w:szCs w:val="20"/>
        </w:rPr>
      </w:pPr>
      <w:r w:rsidRPr="00CC51E2">
        <w:rPr>
          <w:rFonts w:ascii="Arial" w:hAnsi="Arial" w:cs="Arial"/>
          <w:sz w:val="20"/>
          <w:szCs w:val="20"/>
        </w:rPr>
        <w:tab/>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Default="007A396B" w:rsidP="007A396B">
      <w:pPr>
        <w:jc w:val="both"/>
        <w:rPr>
          <w:rFonts w:ascii="Arial" w:hAnsi="Arial" w:cs="Arial"/>
          <w:b/>
          <w:sz w:val="20"/>
          <w:szCs w:val="20"/>
        </w:rPr>
      </w:pPr>
    </w:p>
    <w:p w:rsidR="007A396B"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38112" behindDoc="1" locked="0" layoutInCell="1" allowOverlap="1" wp14:anchorId="078AD0A3" wp14:editId="7372A72C">
            <wp:simplePos x="0" y="0"/>
            <wp:positionH relativeFrom="margin">
              <wp:posOffset>855345</wp:posOffset>
            </wp:positionH>
            <wp:positionV relativeFrom="paragraph">
              <wp:posOffset>236220</wp:posOffset>
            </wp:positionV>
            <wp:extent cx="2146935" cy="3876675"/>
            <wp:effectExtent l="0" t="7620" r="0" b="0"/>
            <wp:wrapTight wrapText="bothSides">
              <wp:wrapPolygon edited="0">
                <wp:start x="-77" y="21558"/>
                <wp:lineTo x="21389" y="21558"/>
                <wp:lineTo x="21389" y="117"/>
                <wp:lineTo x="-77" y="117"/>
                <wp:lineTo x="-77" y="21558"/>
              </wp:wrapPolygon>
            </wp:wrapTight>
            <wp:docPr id="15" name="10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0 Imagen"/>
                    <pic:cNvPicPr>
                      <a:picLocks noChangeAspect="1"/>
                    </pic:cNvPicPr>
                  </pic:nvPicPr>
                  <pic:blipFill rotWithShape="1">
                    <a:blip r:embed="rId138">
                      <a:extLst>
                        <a:ext uri="{28A0092B-C50C-407E-A947-70E740481C1C}">
                          <a14:useLocalDpi xmlns:a14="http://schemas.microsoft.com/office/drawing/2010/main" val="0"/>
                        </a:ext>
                      </a:extLst>
                    </a:blip>
                    <a:srcRect l="40505" t="16002" r="34492" b="8877"/>
                    <a:stretch/>
                  </pic:blipFill>
                  <pic:spPr>
                    <a:xfrm rot="5400000">
                      <a:off x="0" y="0"/>
                      <a:ext cx="2146935" cy="3876675"/>
                    </a:xfrm>
                    <a:prstGeom prst="rect">
                      <a:avLst/>
                    </a:prstGeom>
                  </pic:spPr>
                </pic:pic>
              </a:graphicData>
            </a:graphic>
            <wp14:sizeRelH relativeFrom="page">
              <wp14:pctWidth>0</wp14:pctWidth>
            </wp14:sizeRelH>
            <wp14:sizeRelV relativeFrom="page">
              <wp14:pctHeight>0</wp14:pctHeight>
            </wp14:sizeRelV>
          </wp:anchor>
        </w:drawing>
      </w:r>
      <w:r w:rsidRPr="00CC51E2">
        <w:rPr>
          <w:rFonts w:ascii="Arial" w:hAnsi="Arial" w:cs="Arial"/>
          <w:b/>
          <w:sz w:val="20"/>
          <w:szCs w:val="20"/>
        </w:rPr>
        <w:t>META 2. ENTREGA DE ZONAS DE CESIÓN:</w:t>
      </w:r>
    </w:p>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En el año 2016 se entregaron las zonas de cesión del barrio Bonanza ubicada en la localidad de Ciudad Bolívar correspondiente a 8.745,23 m2, y en el 2017 se entregaron las zonas de cesión del barrio Sierra Morena, igualmente ubicada en la </w:t>
      </w:r>
      <w:r w:rsidR="006E635E" w:rsidRPr="00CC51E2">
        <w:rPr>
          <w:rFonts w:ascii="Arial" w:hAnsi="Arial" w:cs="Arial"/>
          <w:sz w:val="20"/>
          <w:szCs w:val="20"/>
        </w:rPr>
        <w:t>localidad Ciudad</w:t>
      </w:r>
      <w:r w:rsidRPr="00CC51E2">
        <w:rPr>
          <w:rFonts w:ascii="Arial" w:hAnsi="Arial" w:cs="Arial"/>
          <w:sz w:val="20"/>
          <w:szCs w:val="20"/>
        </w:rPr>
        <w:t xml:space="preserve"> Bolívar correspondiente a 607.748,44 m2.</w:t>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r w:rsidRPr="00CC51E2">
        <w:rPr>
          <w:rFonts w:ascii="Arial" w:hAnsi="Arial" w:cs="Arial"/>
          <w:sz w:val="20"/>
          <w:szCs w:val="20"/>
        </w:rPr>
        <w:t>Sierra Morena. Las zonas en color son áreas entregadas y escrituradas al DADEP</w:t>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10843866" wp14:editId="3B746CCF">
            <wp:extent cx="4844404" cy="3364992"/>
            <wp:effectExtent l="0" t="0" r="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59132" cy="3375222"/>
                    </a:xfrm>
                    <a:prstGeom prst="rect">
                      <a:avLst/>
                    </a:prstGeom>
                  </pic:spPr>
                </pic:pic>
              </a:graphicData>
            </a:graphic>
          </wp:inline>
        </w:drawing>
      </w:r>
    </w:p>
    <w:p w:rsidR="007A396B" w:rsidRPr="00CC51E2" w:rsidRDefault="007A396B" w:rsidP="007A396B">
      <w:pPr>
        <w:jc w:val="both"/>
        <w:rPr>
          <w:rFonts w:ascii="Arial" w:hAnsi="Arial" w:cs="Arial"/>
          <w:sz w:val="20"/>
          <w:szCs w:val="20"/>
        </w:rPr>
      </w:pPr>
      <w:r w:rsidRPr="00CC51E2">
        <w:rPr>
          <w:rFonts w:ascii="Arial" w:hAnsi="Arial" w:cs="Arial"/>
          <w:sz w:val="20"/>
          <w:szCs w:val="20"/>
        </w:rPr>
        <w:t>Bonanza. Las zonas en color son áreas entregadas y escrituradas al DADEP</w:t>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Para el año 2017, se gestiona en trabajo conjunto con el </w:t>
      </w:r>
      <w:r w:rsidR="006E635E" w:rsidRPr="00CC51E2">
        <w:rPr>
          <w:rFonts w:ascii="Arial" w:hAnsi="Arial" w:cs="Arial"/>
          <w:sz w:val="20"/>
          <w:szCs w:val="20"/>
        </w:rPr>
        <w:t>DADEP, la</w:t>
      </w:r>
      <w:r w:rsidRPr="00CC51E2">
        <w:rPr>
          <w:rFonts w:ascii="Arial" w:hAnsi="Arial" w:cs="Arial"/>
          <w:sz w:val="20"/>
          <w:szCs w:val="20"/>
        </w:rPr>
        <w:t xml:space="preserve"> entrega de zonas de cesión de las urbanizaciones ATAHUALPA EL CAJON, EL CARACOL, NUEVO CHILE Y LOMAS II PIJAOS. De acuerdo al trabajo adelantado a la fecha, se proyecta para el año en curso, la “entrega total” de las áreas correspondientes al barrio ATAHUALPA EL </w:t>
      </w:r>
      <w:r w:rsidRPr="00CC51E2">
        <w:rPr>
          <w:rFonts w:ascii="Arial" w:hAnsi="Arial" w:cs="Arial"/>
          <w:color w:val="000000" w:themeColor="text1"/>
          <w:sz w:val="20"/>
          <w:szCs w:val="20"/>
        </w:rPr>
        <w:t xml:space="preserve">CAJÓN (28.000m2), y las “entregas parciales” del barrio EL CARACOL (3.000m2) Y LOMAS II PIJAOS (4.800m2); </w:t>
      </w:r>
      <w:r w:rsidRPr="00CC51E2">
        <w:rPr>
          <w:rFonts w:ascii="Arial" w:hAnsi="Arial" w:cs="Arial"/>
          <w:sz w:val="20"/>
          <w:szCs w:val="20"/>
        </w:rPr>
        <w:t xml:space="preserve">la entrega bajo la modalidad “parcial”, se deriva de la problemática que contienen las zonas restantes de estos dos últimos barrios y que se esperan sean resueltas en el marco del comité especial del DADEP, donde se  convoca a las entidades competentes para la resolución de problemáticas. </w:t>
      </w:r>
    </w:p>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Adicionalmente, durante </w:t>
      </w:r>
      <w:r w:rsidR="006E635E" w:rsidRPr="00CC51E2">
        <w:rPr>
          <w:rFonts w:ascii="Arial" w:hAnsi="Arial" w:cs="Arial"/>
          <w:sz w:val="20"/>
          <w:szCs w:val="20"/>
        </w:rPr>
        <w:t>el</w:t>
      </w:r>
      <w:r w:rsidRPr="00CC51E2">
        <w:rPr>
          <w:rFonts w:ascii="Arial" w:hAnsi="Arial" w:cs="Arial"/>
          <w:sz w:val="20"/>
          <w:szCs w:val="20"/>
        </w:rPr>
        <w:t xml:space="preserve"> año 2017, se logró el recibo bajo modalidad “anticipada” de la zona de cesión denominada “EQUIPAMIENTO” </w:t>
      </w:r>
      <w:r w:rsidRPr="00CC51E2">
        <w:rPr>
          <w:rFonts w:ascii="Arial" w:hAnsi="Arial" w:cs="Arial"/>
          <w:color w:val="000000" w:themeColor="text1"/>
          <w:sz w:val="20"/>
          <w:szCs w:val="20"/>
        </w:rPr>
        <w:t xml:space="preserve">(12.135,59m2) </w:t>
      </w:r>
      <w:r w:rsidRPr="00CC51E2">
        <w:rPr>
          <w:rFonts w:ascii="Arial" w:hAnsi="Arial" w:cs="Arial"/>
          <w:sz w:val="20"/>
          <w:szCs w:val="20"/>
        </w:rPr>
        <w:t xml:space="preserve">del barrio ARBOLEDA SANTA TERESITA. Actualmente se trabaja en la escrituración para hacer el traspaso material y </w:t>
      </w:r>
      <w:r w:rsidR="006E635E" w:rsidRPr="00CC51E2">
        <w:rPr>
          <w:rFonts w:ascii="Arial" w:hAnsi="Arial" w:cs="Arial"/>
          <w:sz w:val="20"/>
          <w:szCs w:val="20"/>
        </w:rPr>
        <w:t>jurídico de</w:t>
      </w:r>
      <w:r w:rsidRPr="00CC51E2">
        <w:rPr>
          <w:rFonts w:ascii="Arial" w:hAnsi="Arial" w:cs="Arial"/>
          <w:sz w:val="20"/>
          <w:szCs w:val="20"/>
        </w:rPr>
        <w:t xml:space="preserve"> dicha zona.</w:t>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META 3. CIERRE PROYECTOS CONSTRUCTIVOS</w:t>
      </w:r>
    </w:p>
    <w:p w:rsidR="007A396B" w:rsidRPr="00CC51E2" w:rsidRDefault="007A396B" w:rsidP="007A396B">
      <w:pPr>
        <w:jc w:val="both"/>
        <w:rPr>
          <w:rFonts w:ascii="Arial" w:hAnsi="Arial" w:cs="Arial"/>
          <w:sz w:val="20"/>
          <w:szCs w:val="20"/>
        </w:rPr>
      </w:pPr>
      <w:r w:rsidRPr="00CC51E2">
        <w:rPr>
          <w:rFonts w:ascii="Arial" w:hAnsi="Arial" w:cs="Arial"/>
          <w:sz w:val="20"/>
          <w:szCs w:val="20"/>
        </w:rPr>
        <w:t>En el 2016 se realizó el cierre de tres (3) proyectos urbanísticos a saber: Candelaria La Nueva Etapa III,  y Arborizadora Manzana 65 ubicados en la Localidad de Ciudad Bolívar</w:t>
      </w:r>
      <w:r>
        <w:rPr>
          <w:rFonts w:ascii="Arial" w:hAnsi="Arial" w:cs="Arial"/>
          <w:sz w:val="20"/>
          <w:szCs w:val="20"/>
        </w:rPr>
        <w:t xml:space="preserve">, </w:t>
      </w:r>
      <w:r w:rsidRPr="00CC51E2">
        <w:rPr>
          <w:rFonts w:ascii="Arial" w:hAnsi="Arial" w:cs="Arial"/>
          <w:sz w:val="20"/>
          <w:szCs w:val="20"/>
        </w:rPr>
        <w:t xml:space="preserve"> el Porvenir Man</w:t>
      </w:r>
      <w:r>
        <w:rPr>
          <w:rFonts w:ascii="Arial" w:hAnsi="Arial" w:cs="Arial"/>
          <w:sz w:val="20"/>
          <w:szCs w:val="20"/>
        </w:rPr>
        <w:t>zana</w:t>
      </w:r>
      <w:r w:rsidRPr="00CC51E2">
        <w:rPr>
          <w:rFonts w:ascii="Arial" w:hAnsi="Arial" w:cs="Arial"/>
          <w:sz w:val="20"/>
          <w:szCs w:val="20"/>
        </w:rPr>
        <w:t xml:space="preserve"> 55 ubicado en la localidad de Bosa; en estos proyectos se realizó el proceso de escrituración desagregados de la siguiente manera: Candelaria La Nueva, 59 escrituras, Porvenir Man</w:t>
      </w:r>
      <w:r>
        <w:rPr>
          <w:rFonts w:ascii="Arial" w:hAnsi="Arial" w:cs="Arial"/>
          <w:sz w:val="20"/>
          <w:szCs w:val="20"/>
        </w:rPr>
        <w:t>zana</w:t>
      </w:r>
      <w:r w:rsidRPr="00CC51E2">
        <w:rPr>
          <w:rFonts w:ascii="Arial" w:hAnsi="Arial" w:cs="Arial"/>
          <w:sz w:val="20"/>
          <w:szCs w:val="20"/>
        </w:rPr>
        <w:t xml:space="preserve"> 55, 16 escrituras y Arborizadora Manzana 65, 50 escrituras</w:t>
      </w:r>
      <w:r>
        <w:rPr>
          <w:rFonts w:ascii="Arial" w:hAnsi="Arial" w:cs="Arial"/>
          <w:sz w:val="20"/>
          <w:szCs w:val="20"/>
        </w:rPr>
        <w:t xml:space="preserve">, donde en total </w:t>
      </w:r>
      <w:r w:rsidRPr="00CC51E2">
        <w:rPr>
          <w:rFonts w:ascii="Arial" w:hAnsi="Arial" w:cs="Arial"/>
          <w:sz w:val="20"/>
          <w:szCs w:val="20"/>
        </w:rPr>
        <w:t>se han beneficiado  125 familias.</w:t>
      </w:r>
    </w:p>
    <w:p w:rsidR="007A396B" w:rsidRPr="00CC51E2" w:rsidRDefault="007A396B" w:rsidP="007A396B">
      <w:pPr>
        <w:jc w:val="both"/>
        <w:rPr>
          <w:rFonts w:ascii="Arial" w:hAnsi="Arial" w:cs="Arial"/>
          <w:sz w:val="20"/>
          <w:szCs w:val="20"/>
        </w:rPr>
      </w:pPr>
      <w:r w:rsidRPr="00CC51E2">
        <w:rPr>
          <w:rFonts w:ascii="Arial" w:hAnsi="Arial" w:cs="Arial"/>
          <w:sz w:val="20"/>
          <w:szCs w:val="20"/>
        </w:rPr>
        <w:t>Entre 2017 y 2018 se entregarán 4 proyectos constructivos para Vivienda VIP con los que se espera beneficiar a 1425 nuevos propietarios.</w:t>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Arboleda Santa Teresita</w:t>
      </w:r>
    </w:p>
    <w:p w:rsidR="007A396B" w:rsidRPr="00CC51E2" w:rsidRDefault="007A396B" w:rsidP="007A396B">
      <w:pPr>
        <w:jc w:val="both"/>
        <w:rPr>
          <w:rFonts w:ascii="Arial" w:hAnsi="Arial" w:cs="Arial"/>
          <w:sz w:val="20"/>
          <w:szCs w:val="20"/>
        </w:rPr>
      </w:pPr>
      <w:r w:rsidRPr="00CC51E2">
        <w:rPr>
          <w:rFonts w:ascii="Arial" w:hAnsi="Arial" w:cs="Arial"/>
          <w:sz w:val="20"/>
          <w:szCs w:val="20"/>
        </w:rPr>
        <w:t>Se avanza en las obras del proyecto Arboleda Santa Teresita con 1.032 viviendas VIP, cuyo avance de obra a 31 de octubre es del 71.9%. Se estima iniciar la asignación de beneficiarios en el primer semestre de 2018 y culminar el proceso de escrituración y entrega en septiembre de 2018</w:t>
      </w:r>
    </w:p>
    <w:p w:rsidR="007A396B" w:rsidRPr="00CC51E2"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7C7F0D2C" wp14:editId="3129583B">
            <wp:extent cx="4411065" cy="1854316"/>
            <wp:effectExtent l="0" t="0" r="8890" b="0"/>
            <wp:docPr id="17" name="15 Imagen">
              <a:extLst xmlns:a="http://schemas.openxmlformats.org/drawingml/2006/main">
                <a:ext uri="{FF2B5EF4-FFF2-40B4-BE49-F238E27FC236}">
                  <a16:creationId xmlns:a16="http://schemas.microsoft.com/office/drawing/2014/main" id="{9EC7568E-3186-4350-9B9C-415D7F143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 Imagen">
                      <a:extLst>
                        <a:ext uri="{FF2B5EF4-FFF2-40B4-BE49-F238E27FC236}">
                          <a16:creationId xmlns:a16="http://schemas.microsoft.com/office/drawing/2014/main" id="{9EC7568E-3186-4350-9B9C-415D7F143933}"/>
                        </a:ext>
                      </a:extLst>
                    </pic:cNvPr>
                    <pic:cNvPicPr>
                      <a:picLocks noChangeAspect="1"/>
                    </pic:cNvPicPr>
                  </pic:nvPicPr>
                  <pic:blipFill rotWithShape="1">
                    <a:blip r:embed="rId140" cstate="hqprint">
                      <a:extLst>
                        <a:ext uri="{28A0092B-C50C-407E-A947-70E740481C1C}">
                          <a14:useLocalDpi xmlns:a14="http://schemas.microsoft.com/office/drawing/2010/main"/>
                        </a:ext>
                      </a:extLst>
                    </a:blip>
                    <a:srcRect/>
                    <a:stretch/>
                  </pic:blipFill>
                  <pic:spPr>
                    <a:xfrm>
                      <a:off x="0" y="0"/>
                      <a:ext cx="4430424" cy="1862454"/>
                    </a:xfrm>
                    <a:prstGeom prst="rect">
                      <a:avLst/>
                    </a:prstGeom>
                  </pic:spPr>
                </pic:pic>
              </a:graphicData>
            </a:graphic>
          </wp:inline>
        </w:drawing>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Arborizadora Baja Proyecto 54 y 55</w:t>
      </w: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39136" behindDoc="0" locked="0" layoutInCell="1" allowOverlap="1" wp14:anchorId="1A2AA408" wp14:editId="70E37D27">
            <wp:simplePos x="0" y="0"/>
            <wp:positionH relativeFrom="column">
              <wp:posOffset>647383</wp:posOffset>
            </wp:positionH>
            <wp:positionV relativeFrom="paragraph">
              <wp:posOffset>192392</wp:posOffset>
            </wp:positionV>
            <wp:extent cx="1331099" cy="2838224"/>
            <wp:effectExtent l="8572" t="0" r="0" b="0"/>
            <wp:wrapNone/>
            <wp:docPr id="18" name="14 Imagen">
              <a:extLst xmlns:a="http://schemas.openxmlformats.org/drawingml/2006/main">
                <a:ext uri="{FF2B5EF4-FFF2-40B4-BE49-F238E27FC236}">
                  <a16:creationId xmlns:a16="http://schemas.microsoft.com/office/drawing/2014/main" id="{250DA0A8-1E5F-414B-92B5-85A88CEE55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 Imagen">
                      <a:extLst>
                        <a:ext uri="{FF2B5EF4-FFF2-40B4-BE49-F238E27FC236}">
                          <a16:creationId xmlns:a16="http://schemas.microsoft.com/office/drawing/2014/main" id="{250DA0A8-1E5F-414B-92B5-85A88CEE5576}"/>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rot="5400000">
                      <a:off x="0" y="0"/>
                      <a:ext cx="1331099" cy="2838224"/>
                    </a:xfrm>
                    <a:prstGeom prst="rect">
                      <a:avLst/>
                    </a:prstGeom>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t>El proyecto Arborizadora Baja Proyecto Manzanas 54 y 55 contará con 297 viviendas VIP, cuyo avance de obra a 31 de octubre es del  83.5%. Se estima iniciar la asignación de beneficiarios en noviembre de 2017 y culminar el proceso de escrituración y entrega entre enero y febrero de 2018.</w:t>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40160" behindDoc="0" locked="0" layoutInCell="1" allowOverlap="1" wp14:anchorId="62452E7D" wp14:editId="13154BDA">
            <wp:simplePos x="0" y="0"/>
            <wp:positionH relativeFrom="column">
              <wp:posOffset>3176270</wp:posOffset>
            </wp:positionH>
            <wp:positionV relativeFrom="paragraph">
              <wp:posOffset>33325</wp:posOffset>
            </wp:positionV>
            <wp:extent cx="2472055" cy="1348740"/>
            <wp:effectExtent l="0" t="0" r="4445" b="3810"/>
            <wp:wrapNone/>
            <wp:docPr id="8" name="13 Imagen">
              <a:extLst xmlns:a="http://schemas.openxmlformats.org/drawingml/2006/main">
                <a:ext uri="{FF2B5EF4-FFF2-40B4-BE49-F238E27FC236}">
                  <a16:creationId xmlns:a16="http://schemas.microsoft.com/office/drawing/2014/main" id="{23D32149-C7EF-45DC-941C-F4AF43A90A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 Imagen">
                      <a:extLst>
                        <a:ext uri="{FF2B5EF4-FFF2-40B4-BE49-F238E27FC236}">
                          <a16:creationId xmlns:a16="http://schemas.microsoft.com/office/drawing/2014/main" id="{23D32149-C7EF-45DC-941C-F4AF43A90A81}"/>
                        </a:ext>
                      </a:extLst>
                    </pic:cNvPr>
                    <pic:cNvPicPr>
                      <a:picLocks noChangeAspect="1"/>
                    </pic:cNvPicPr>
                  </pic:nvPicPr>
                  <pic:blipFill>
                    <a:blip r:embed="rId142"/>
                    <a:stretch>
                      <a:fillRect/>
                    </a:stretch>
                  </pic:blipFill>
                  <pic:spPr>
                    <a:xfrm>
                      <a:off x="0" y="0"/>
                      <a:ext cx="2472055" cy="1348740"/>
                    </a:xfrm>
                    <a:prstGeom prst="rect">
                      <a:avLst/>
                    </a:prstGeom>
                  </pic:spPr>
                </pic:pic>
              </a:graphicData>
            </a:graphic>
            <wp14:sizeRelH relativeFrom="margin">
              <wp14:pctWidth>0</wp14:pctWidth>
            </wp14:sizeRelH>
            <wp14:sizeRelV relativeFrom="margin">
              <wp14:pctHeight>0</wp14:pctHeight>
            </wp14:sizeRelV>
          </wp:anchor>
        </w:drawing>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 xml:space="preserve">La Casona </w:t>
      </w:r>
    </w:p>
    <w:p w:rsidR="007A396B" w:rsidRPr="00CC51E2" w:rsidRDefault="007A396B" w:rsidP="007A396B">
      <w:pPr>
        <w:jc w:val="both"/>
        <w:rPr>
          <w:rFonts w:ascii="Arial" w:hAnsi="Arial" w:cs="Arial"/>
          <w:sz w:val="20"/>
          <w:szCs w:val="20"/>
        </w:rPr>
      </w:pPr>
      <w:r w:rsidRPr="00CC51E2">
        <w:rPr>
          <w:rFonts w:ascii="Arial" w:hAnsi="Arial" w:cs="Arial"/>
          <w:sz w:val="20"/>
          <w:szCs w:val="20"/>
        </w:rPr>
        <w:t>El proyecto la Casona contará con 96 viviendas VIP, cuyo avance de obra a 31 de octubre es del 66.3%. Se estima iniciar la asignación de beneficiarios en diciembre de 2017 y culminar el proceso de escrituración y entrega en febrero de 2018.</w:t>
      </w:r>
    </w:p>
    <w:p w:rsidR="007A396B" w:rsidRPr="00CC51E2"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330BA6E3" wp14:editId="610E313F">
            <wp:extent cx="3423514" cy="1984316"/>
            <wp:effectExtent l="114300" t="76200" r="62865" b="130810"/>
            <wp:docPr id="19" name="12 Imagen">
              <a:extLst xmlns:a="http://schemas.openxmlformats.org/drawingml/2006/main">
                <a:ext uri="{FF2B5EF4-FFF2-40B4-BE49-F238E27FC236}">
                  <a16:creationId xmlns:a16="http://schemas.microsoft.com/office/drawing/2014/main" id="{9D9387A8-D0BE-45E2-AE14-D2C5D7233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 Imagen">
                      <a:extLst>
                        <a:ext uri="{FF2B5EF4-FFF2-40B4-BE49-F238E27FC236}">
                          <a16:creationId xmlns:a16="http://schemas.microsoft.com/office/drawing/2014/main" id="{9D9387A8-D0BE-45E2-AE14-D2C5D7233D22}"/>
                        </a:ext>
                      </a:extLst>
                    </pic:cNvPr>
                    <pic:cNvPicPr>
                      <a:picLocks noChangeAspect="1"/>
                    </pic:cNvPicPr>
                  </pic:nvPicPr>
                  <pic:blipFill>
                    <a:blip r:embed="rId143"/>
                    <a:stretch>
                      <a:fillRect/>
                    </a:stretch>
                  </pic:blipFill>
                  <pic:spPr>
                    <a:xfrm>
                      <a:off x="0" y="0"/>
                      <a:ext cx="3465998" cy="2008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A396B" w:rsidRPr="00CC51E2" w:rsidRDefault="007A396B" w:rsidP="007A396B">
      <w:pPr>
        <w:jc w:val="both"/>
        <w:rPr>
          <w:rFonts w:ascii="Arial" w:hAnsi="Arial" w:cs="Arial"/>
          <w:sz w:val="20"/>
          <w:szCs w:val="20"/>
        </w:rPr>
      </w:pPr>
    </w:p>
    <w:p w:rsidR="007A396B" w:rsidRPr="00CC51E2" w:rsidRDefault="007A396B" w:rsidP="007A396B">
      <w:pPr>
        <w:spacing w:after="0" w:line="240" w:lineRule="auto"/>
        <w:rPr>
          <w:rFonts w:ascii="Arial" w:hAnsi="Arial" w:cs="Arial"/>
          <w:sz w:val="20"/>
          <w:szCs w:val="20"/>
        </w:rPr>
      </w:pPr>
      <w:r w:rsidRPr="00CC51E2">
        <w:rPr>
          <w:rFonts w:ascii="Arial" w:hAnsi="Arial" w:cs="Arial"/>
          <w:sz w:val="20"/>
          <w:szCs w:val="20"/>
        </w:rPr>
        <w:br w:type="page"/>
      </w:r>
    </w:p>
    <w:p w:rsidR="00AE0C9B" w:rsidRPr="00CC51E2" w:rsidRDefault="00AE0C9B" w:rsidP="00AE0C9B">
      <w:pPr>
        <w:rPr>
          <w:rFonts w:ascii="Arial" w:hAnsi="Arial" w:cs="Arial"/>
          <w:sz w:val="20"/>
          <w:szCs w:val="20"/>
        </w:rPr>
      </w:pPr>
    </w:p>
    <w:p w:rsidR="00AE0C9B" w:rsidRPr="00CC51E2" w:rsidRDefault="00AE0C9B">
      <w:pPr>
        <w:spacing w:after="0" w:line="240" w:lineRule="auto"/>
        <w:rPr>
          <w:rFonts w:ascii="Arial" w:hAnsi="Arial" w:cs="Arial"/>
          <w:b/>
          <w:sz w:val="20"/>
          <w:szCs w:val="20"/>
        </w:rPr>
      </w:pP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DIRECCIÓN DE REASENTAMIENTOS HUMANOS</w:t>
      </w:r>
    </w:p>
    <w:p w:rsidR="00AE0C9B" w:rsidRPr="00CC51E2" w:rsidRDefault="00AE0C9B" w:rsidP="00AE0C9B">
      <w:pPr>
        <w:spacing w:line="240" w:lineRule="auto"/>
        <w:jc w:val="center"/>
        <w:rPr>
          <w:rFonts w:ascii="Arial" w:hAnsi="Arial" w:cs="Arial"/>
          <w:b/>
          <w:sz w:val="20"/>
          <w:szCs w:val="20"/>
        </w:rPr>
      </w:pPr>
    </w:p>
    <w:p w:rsidR="00A17C2F" w:rsidRPr="00CC51E2" w:rsidRDefault="00AE0C9B" w:rsidP="00AE0C9B">
      <w:pPr>
        <w:spacing w:line="240" w:lineRule="auto"/>
        <w:rPr>
          <w:rFonts w:ascii="Arial" w:hAnsi="Arial" w:cs="Arial"/>
          <w:b/>
          <w:sz w:val="20"/>
          <w:szCs w:val="20"/>
        </w:rPr>
      </w:pPr>
      <w:r w:rsidRPr="00CC51E2">
        <w:rPr>
          <w:rFonts w:ascii="Arial" w:hAnsi="Arial" w:cs="Arial"/>
          <w:b/>
          <w:sz w:val="20"/>
          <w:szCs w:val="20"/>
        </w:rPr>
        <w:t xml:space="preserve">PROYECTO DE INVERSIÓN 3075 –  REASENTAMIENTO DE HOGARES LOCALIZADOS EN ZONAS DE ALTO RIESGO NO MITIGABLE </w:t>
      </w:r>
    </w:p>
    <w:p w:rsidR="00A17C2F" w:rsidRPr="00CC51E2" w:rsidRDefault="00A17C2F" w:rsidP="00AE0C9B">
      <w:pPr>
        <w:spacing w:line="240" w:lineRule="auto"/>
        <w:rPr>
          <w:rFonts w:ascii="Arial" w:hAnsi="Arial" w:cs="Arial"/>
          <w:b/>
          <w:sz w:val="20"/>
          <w:szCs w:val="20"/>
        </w:rPr>
      </w:pPr>
    </w:p>
    <w:p w:rsidR="00AE0C9B" w:rsidRPr="00CC51E2" w:rsidRDefault="00AE0C9B" w:rsidP="00AE0C9B">
      <w:pPr>
        <w:spacing w:line="240" w:lineRule="auto"/>
        <w:rPr>
          <w:rFonts w:ascii="Arial" w:hAnsi="Arial" w:cs="Arial"/>
          <w:b/>
          <w:sz w:val="20"/>
          <w:szCs w:val="20"/>
        </w:rPr>
      </w:pPr>
      <w:r w:rsidRPr="00CC51E2">
        <w:rPr>
          <w:rFonts w:ascii="Arial" w:hAnsi="Arial" w:cs="Arial"/>
          <w:b/>
          <w:sz w:val="20"/>
          <w:szCs w:val="20"/>
        </w:rPr>
        <w:t>PLAN DE DESARROLLO “BOGOTÁ MEJOR PARA TODOS”</w:t>
      </w:r>
    </w:p>
    <w:p w:rsidR="00A17C2F" w:rsidRPr="00CC51E2" w:rsidRDefault="00A17C2F" w:rsidP="00A17C2F">
      <w:pPr>
        <w:shd w:val="clear" w:color="auto" w:fill="FFFFFF"/>
        <w:spacing w:after="0" w:line="240" w:lineRule="auto"/>
        <w:rPr>
          <w:rFonts w:ascii="Arial" w:eastAsia="Times New Roman" w:hAnsi="Arial" w:cs="Arial"/>
          <w:sz w:val="20"/>
          <w:szCs w:val="20"/>
          <w:lang w:val="es-ES" w:eastAsia="es-ES"/>
        </w:rPr>
      </w:pPr>
      <w:r w:rsidRPr="00CC51E2">
        <w:rPr>
          <w:rFonts w:ascii="Arial" w:eastAsia="Times New Roman" w:hAnsi="Arial" w:cs="Arial"/>
          <w:b/>
          <w:sz w:val="20"/>
          <w:szCs w:val="20"/>
          <w:lang w:val="es-ES" w:eastAsia="es-ES"/>
        </w:rPr>
        <w:t>Eje:</w:t>
      </w:r>
      <w:r w:rsidRPr="00CC51E2">
        <w:rPr>
          <w:rFonts w:ascii="Arial" w:eastAsia="Times New Roman" w:hAnsi="Arial" w:cs="Arial"/>
          <w:sz w:val="20"/>
          <w:szCs w:val="20"/>
          <w:lang w:val="es-ES" w:eastAsia="es-ES"/>
        </w:rPr>
        <w:t xml:space="preserve"> 01 – Igualdad de Calidad Vida</w:t>
      </w:r>
    </w:p>
    <w:p w:rsidR="00A17C2F" w:rsidRPr="00CC51E2" w:rsidRDefault="00A17C2F" w:rsidP="00A17C2F">
      <w:pPr>
        <w:shd w:val="clear" w:color="auto" w:fill="FFFFFF"/>
        <w:spacing w:after="0" w:line="240" w:lineRule="auto"/>
        <w:rPr>
          <w:rFonts w:ascii="Arial" w:eastAsia="Times New Roman" w:hAnsi="Arial" w:cs="Arial"/>
          <w:sz w:val="20"/>
          <w:szCs w:val="20"/>
          <w:lang w:val="es-ES" w:eastAsia="es-ES"/>
        </w:rPr>
      </w:pPr>
      <w:r w:rsidRPr="00CC51E2">
        <w:rPr>
          <w:rFonts w:ascii="Arial" w:eastAsia="Times New Roman" w:hAnsi="Arial" w:cs="Arial"/>
          <w:b/>
          <w:sz w:val="20"/>
          <w:szCs w:val="20"/>
          <w:lang w:val="es-ES" w:eastAsia="es-ES"/>
        </w:rPr>
        <w:t>Programa:</w:t>
      </w:r>
      <w:r w:rsidRPr="00CC51E2">
        <w:rPr>
          <w:rFonts w:ascii="Arial" w:eastAsia="Times New Roman" w:hAnsi="Arial" w:cs="Arial"/>
          <w:sz w:val="20"/>
          <w:szCs w:val="20"/>
          <w:lang w:val="es-ES" w:eastAsia="es-ES"/>
        </w:rPr>
        <w:t xml:space="preserve"> Familias Protegidas y Adaptadas al Cambio Climático</w:t>
      </w:r>
    </w:p>
    <w:p w:rsidR="00A17C2F" w:rsidRPr="00CC51E2" w:rsidRDefault="00A17C2F" w:rsidP="00A17C2F">
      <w:pPr>
        <w:shd w:val="clear" w:color="auto" w:fill="FFFFFF"/>
        <w:spacing w:after="0" w:line="240" w:lineRule="auto"/>
        <w:jc w:val="both"/>
        <w:rPr>
          <w:rFonts w:ascii="Arial" w:eastAsia="Times New Roman" w:hAnsi="Arial" w:cs="Arial"/>
          <w:sz w:val="20"/>
          <w:szCs w:val="20"/>
          <w:lang w:val="es-ES" w:eastAsia="es-ES"/>
        </w:rPr>
      </w:pPr>
      <w:r w:rsidRPr="00CC51E2">
        <w:rPr>
          <w:rFonts w:ascii="Arial" w:eastAsia="Times New Roman" w:hAnsi="Arial" w:cs="Arial"/>
          <w:b/>
          <w:sz w:val="20"/>
          <w:szCs w:val="20"/>
          <w:lang w:eastAsia="es-ES"/>
        </w:rPr>
        <w:t>Proyecto Estratégico:</w:t>
      </w:r>
      <w:r w:rsidRPr="00CC51E2">
        <w:rPr>
          <w:rFonts w:ascii="Arial" w:eastAsia="Times New Roman" w:hAnsi="Arial" w:cs="Arial"/>
          <w:sz w:val="20"/>
          <w:szCs w:val="20"/>
          <w:lang w:eastAsia="es-ES"/>
        </w:rPr>
        <w:t xml:space="preserve"> Proyectos de Mejoramiento Integral de Barrios, Vivienda y Gestión del Riesgo</w:t>
      </w:r>
    </w:p>
    <w:p w:rsidR="00C520C7" w:rsidRPr="00CC51E2" w:rsidRDefault="00C520C7" w:rsidP="00AE0C9B">
      <w:pPr>
        <w:spacing w:line="240" w:lineRule="auto"/>
        <w:rPr>
          <w:rFonts w:ascii="Arial" w:hAnsi="Arial" w:cs="Arial"/>
          <w:b/>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INTRODUCCIÓN</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La Dirección de Reasentamientos de la Caja de la Vivienda Popular, tiene como misionalidad proteger la vida de los hogares de estratos 1 y 2 que están localizados en zonas de alto riesgo no mitigable por fenómenos de remoción en masa o en condición de riesgo por inundación, desbordamiento, crecientes súbitas o avenidas torrenciales, trasladándose a una alternativa de habitación legal y económicamente viable, técnicamente segura y ambientalmente salubre.</w:t>
      </w: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CONTEXTO</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Al iniciar el actual periodo de gobierno, en la Dirección de Reasentamientos de la Caja de la Vivienda Popular se establecieron las metas del proyecto de inversión, de acuerdo al Plan de Desarrollo Distrital “Bogotá Mejor Para Todos”, dándoles el siguiente tratamiento:</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5256FB72" wp14:editId="6DF91855">
            <wp:extent cx="5519451" cy="4115894"/>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27262" cy="4121719"/>
                    </a:xfrm>
                    <a:prstGeom prst="rect">
                      <a:avLst/>
                    </a:prstGeom>
                    <a:noFill/>
                    <a:ln>
                      <a:noFill/>
                    </a:ln>
                  </pic:spPr>
                </pic:pic>
              </a:graphicData>
            </a:graphic>
          </wp:inline>
        </w:drawing>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Teniendo en cuenta lo anterior se tiene que, de la meta de reasentar 1.436 hogares se logró reubicar definitivamente 565. Por otra parte, respecto a la atención de las familias atendidas bajo la modalidad de relocalización transitoria, se logró atender al 72% equivalente a 1.461 hogares en el programa.</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En cuanto a la meta de asignar 333 Valor Único de Reconocimiento – VUR, se logró la asignación de 439 instrumentos financieros durante el segundo semestre del año 2016. Igualmente, se superó la meta de selección de vivienda logrando 277 selecciones de 201 que se habían fijado como meta. Por último, se lograron adquirir 52 predios vía Decreto 511 de 2010 frente a 60 adquisiciones prediales fijadas como meta para el mismo periodo.</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 xml:space="preserve">Lo anterior, se llevó a cabo con una inversión de </w:t>
      </w:r>
      <w:r w:rsidRPr="00CC51E2">
        <w:rPr>
          <w:rFonts w:ascii="Arial" w:hAnsi="Arial" w:cs="Arial"/>
          <w:b/>
          <w:sz w:val="20"/>
          <w:szCs w:val="20"/>
        </w:rPr>
        <w:t>TREINTA MIL NOVECIENTOS NOVENTA Y OCHO MILLONES CIENTO SESENTA Y TRES MIL QUINIENTOS VEINTISIETE PESOS ($ 30.998.163.527) M/CTE</w:t>
      </w:r>
      <w:r w:rsidRPr="00CC51E2">
        <w:rPr>
          <w:rFonts w:ascii="Arial" w:hAnsi="Arial" w:cs="Arial"/>
          <w:sz w:val="20"/>
          <w:szCs w:val="20"/>
        </w:rPr>
        <w:t>, lo que equivale a la ejecución del 88,49% de los recursos disponibles.</w:t>
      </w:r>
    </w:p>
    <w:p w:rsidR="00AE0C9B" w:rsidRPr="00CC51E2" w:rsidRDefault="00AE0C9B" w:rsidP="00AE0C9B">
      <w:pPr>
        <w:spacing w:line="240" w:lineRule="auto"/>
        <w:jc w:val="both"/>
        <w:rPr>
          <w:rFonts w:ascii="Arial" w:hAnsi="Arial" w:cs="Arial"/>
          <w:sz w:val="20"/>
          <w:szCs w:val="20"/>
        </w:rPr>
      </w:pPr>
    </w:p>
    <w:p w:rsidR="00311CEC" w:rsidRPr="00CC51E2" w:rsidRDefault="00311CEC" w:rsidP="00AE0C9B">
      <w:pPr>
        <w:spacing w:line="240" w:lineRule="auto"/>
        <w:jc w:val="both"/>
        <w:rPr>
          <w:rFonts w:ascii="Arial" w:hAnsi="Arial" w:cs="Arial"/>
          <w:sz w:val="20"/>
          <w:szCs w:val="20"/>
        </w:rPr>
      </w:pPr>
    </w:p>
    <w:p w:rsidR="00311CEC" w:rsidRPr="00CC51E2" w:rsidRDefault="00311CEC" w:rsidP="00AE0C9B">
      <w:pPr>
        <w:spacing w:line="240" w:lineRule="auto"/>
        <w:jc w:val="both"/>
        <w:rPr>
          <w:rFonts w:ascii="Arial" w:hAnsi="Arial" w:cs="Arial"/>
          <w:sz w:val="20"/>
          <w:szCs w:val="20"/>
        </w:rPr>
      </w:pPr>
    </w:p>
    <w:p w:rsidR="00A17C2F" w:rsidRPr="00CC51E2" w:rsidRDefault="00A17C2F" w:rsidP="00AE0C9B">
      <w:pPr>
        <w:spacing w:line="240" w:lineRule="auto"/>
        <w:jc w:val="both"/>
        <w:rPr>
          <w:rFonts w:ascii="Arial" w:hAnsi="Arial" w:cs="Arial"/>
          <w:sz w:val="20"/>
          <w:szCs w:val="20"/>
        </w:rPr>
      </w:pPr>
    </w:p>
    <w:p w:rsidR="00A17C2F" w:rsidRPr="00CC51E2" w:rsidRDefault="00A17C2F" w:rsidP="00AE0C9B">
      <w:pPr>
        <w:spacing w:line="240" w:lineRule="auto"/>
        <w:jc w:val="both"/>
        <w:rPr>
          <w:rFonts w:ascii="Arial" w:hAnsi="Arial" w:cs="Arial"/>
          <w:sz w:val="20"/>
          <w:szCs w:val="20"/>
        </w:rPr>
      </w:pPr>
    </w:p>
    <w:p w:rsidR="00AE0C9B" w:rsidRPr="00CC51E2" w:rsidRDefault="00AE0C9B" w:rsidP="00AE0C9B">
      <w:pPr>
        <w:pStyle w:val="Prrafodelista"/>
        <w:spacing w:line="240" w:lineRule="auto"/>
        <w:jc w:val="both"/>
        <w:rPr>
          <w:rFonts w:ascii="Arial" w:hAnsi="Arial" w:cs="Arial"/>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SEGUIMIENTO A METAS</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 partir de la entrada en vigencia del Acuerdo 645 de 2016 “</w:t>
      </w:r>
      <w:r w:rsidRPr="00CC51E2">
        <w:rPr>
          <w:rFonts w:ascii="Arial" w:hAnsi="Arial" w:cs="Arial"/>
          <w:i/>
          <w:sz w:val="20"/>
          <w:szCs w:val="20"/>
        </w:rPr>
        <w:t>POR EL CUAL SE ADOPTA EL PLAN DE DESARROLLO ECONÓMICO, SOCIAL, AMBIENTAL Y DE OBRAS PÚBLICAS PARA BOGOTÁ D.C. 2016 - 2020 BOGOTÁ MEJOR PARA TODOS”,</w:t>
      </w:r>
      <w:r w:rsidRPr="00CC51E2">
        <w:rPr>
          <w:rFonts w:ascii="Arial" w:hAnsi="Arial" w:cs="Arial"/>
          <w:sz w:val="20"/>
          <w:szCs w:val="20"/>
        </w:rPr>
        <w:t xml:space="preserve"> en lo que refiere a la </w:t>
      </w:r>
      <w:r w:rsidRPr="00CC51E2">
        <w:rPr>
          <w:rFonts w:ascii="Arial" w:hAnsi="Arial" w:cs="Arial"/>
          <w:b/>
          <w:sz w:val="20"/>
          <w:szCs w:val="20"/>
        </w:rPr>
        <w:t>meta No. 1</w:t>
      </w:r>
      <w:r w:rsidRPr="00CC51E2">
        <w:rPr>
          <w:rFonts w:ascii="Arial" w:hAnsi="Arial" w:cs="Arial"/>
          <w:sz w:val="20"/>
          <w:szCs w:val="20"/>
        </w:rPr>
        <w:t xml:space="preserve"> “</w:t>
      </w:r>
      <w:r w:rsidRPr="00CC51E2">
        <w:rPr>
          <w:rFonts w:ascii="Arial" w:hAnsi="Arial" w:cs="Arial"/>
          <w:i/>
          <w:sz w:val="20"/>
          <w:szCs w:val="20"/>
        </w:rPr>
        <w:t xml:space="preserve">“4.000 familias reasentadas por encontrarse en zonas de alto riesgo no mitigable”, </w:t>
      </w:r>
      <w:r w:rsidRPr="00CC51E2">
        <w:rPr>
          <w:rFonts w:ascii="Arial" w:hAnsi="Arial" w:cs="Arial"/>
          <w:sz w:val="20"/>
          <w:szCs w:val="20"/>
        </w:rPr>
        <w:t>a través del Formato Único de Seguimiento Sectorial (FUSS) y de la formulación del Proyecto de Inversión 3075, se fijó como meta para la vigencia 2017, reasentar 1.771 hogares. Con corte a 31 de octubre de la corriente anualidad, se han logrado reasentar 1.020 familias que se distribuyen por localidades de la siguiente manera:</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08275F81" wp14:editId="69879D9F">
            <wp:extent cx="4619625" cy="3381375"/>
            <wp:effectExtent l="0" t="0" r="9525" b="9525"/>
            <wp:docPr id="3" name="Gráfico 3">
              <a:extLst xmlns:a="http://schemas.openxmlformats.org/drawingml/2006/main">
                <a:ext uri="{FF2B5EF4-FFF2-40B4-BE49-F238E27FC236}">
                  <a16:creationId xmlns:a16="http://schemas.microsoft.com/office/drawing/2014/main" id="{197EAEF4-30E3-4DB3-8DBE-431A528BC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Base de Datos Misional – Dirección de Reasentamientos – Caja de la Vivienda Popular</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 xml:space="preserve">De conformidad con la </w:t>
      </w:r>
      <w:r w:rsidRPr="00CC51E2">
        <w:rPr>
          <w:rFonts w:ascii="Arial" w:hAnsi="Arial" w:cs="Arial"/>
          <w:b/>
          <w:sz w:val="20"/>
          <w:szCs w:val="20"/>
        </w:rPr>
        <w:t>meta No. 2</w:t>
      </w:r>
      <w:r w:rsidRPr="00CC51E2">
        <w:rPr>
          <w:rFonts w:ascii="Arial" w:hAnsi="Arial" w:cs="Arial"/>
          <w:sz w:val="20"/>
          <w:szCs w:val="20"/>
        </w:rPr>
        <w:t xml:space="preserve"> del Plan de Desarrollo Distrital relacionado, referente a la “</w:t>
      </w:r>
      <w:r w:rsidRPr="00CC51E2">
        <w:rPr>
          <w:rFonts w:ascii="Arial" w:hAnsi="Arial" w:cs="Arial"/>
          <w:i/>
          <w:sz w:val="20"/>
          <w:szCs w:val="20"/>
        </w:rPr>
        <w:t>Atención del 100% de familias que se encuentran en el programa de relocalización transitoria”,</w:t>
      </w:r>
      <w:r w:rsidRPr="00CC51E2">
        <w:rPr>
          <w:rFonts w:ascii="Arial" w:hAnsi="Arial" w:cs="Arial"/>
          <w:sz w:val="20"/>
          <w:szCs w:val="20"/>
        </w:rPr>
        <w:t xml:space="preserve"> en el 2017 se ha logrado atender el 77,27% de la población beneficiaria de la ayuda de relocalización equivalente a 1.133 hogares. </w:t>
      </w:r>
    </w:p>
    <w:p w:rsidR="00AE0C9B" w:rsidRPr="00CC51E2" w:rsidRDefault="00AE0C9B" w:rsidP="00AE0C9B">
      <w:pPr>
        <w:spacing w:after="0" w:line="240" w:lineRule="auto"/>
        <w:jc w:val="both"/>
        <w:rPr>
          <w:rFonts w:ascii="Arial" w:hAnsi="Arial" w:cs="Arial"/>
          <w:sz w:val="20"/>
          <w:szCs w:val="20"/>
        </w:rPr>
      </w:pPr>
      <w:r w:rsidRPr="00CC51E2">
        <w:rPr>
          <w:rFonts w:ascii="Arial" w:hAnsi="Arial" w:cs="Arial"/>
          <w:sz w:val="20"/>
          <w:szCs w:val="20"/>
        </w:rPr>
        <w:t xml:space="preserve">En ejecución de la </w:t>
      </w:r>
      <w:r w:rsidRPr="00CC51E2">
        <w:rPr>
          <w:rFonts w:ascii="Arial" w:hAnsi="Arial" w:cs="Arial"/>
          <w:b/>
          <w:sz w:val="20"/>
          <w:szCs w:val="20"/>
        </w:rPr>
        <w:t>meta No. 3</w:t>
      </w:r>
      <w:r w:rsidRPr="00CC51E2">
        <w:rPr>
          <w:rFonts w:ascii="Arial" w:hAnsi="Arial" w:cs="Arial"/>
          <w:sz w:val="20"/>
          <w:szCs w:val="20"/>
        </w:rPr>
        <w:t>, “</w:t>
      </w:r>
      <w:r w:rsidRPr="00CC51E2">
        <w:rPr>
          <w:rFonts w:ascii="Arial" w:hAnsi="Arial" w:cs="Arial"/>
          <w:i/>
          <w:sz w:val="20"/>
          <w:szCs w:val="20"/>
        </w:rPr>
        <w:t>Asignar Valor Único de Reconocimiento (VUR) a hogares localizados en zonas de alto riesgo no mitigable”,</w:t>
      </w:r>
      <w:r w:rsidRPr="00CC51E2">
        <w:rPr>
          <w:rFonts w:ascii="Arial" w:hAnsi="Arial" w:cs="Arial"/>
          <w:sz w:val="20"/>
          <w:szCs w:val="20"/>
        </w:rPr>
        <w:t xml:space="preserve"> cabe referir que, de acuerdo a la situación particular de cada familia se da aplicación a lo establecido en el Decreto 255 de 2013 para el caso del Valor Único de Reconocimiento o del Decreto 511 de 2010 para la adquisición del predio por avalúo comercial o de la ayuda estimada en especie. De conformidad con lo anterior, se evidencia que en el 2017 se han realizado 216 asignaciones VUR frente a la meta de 220 asignaciones. </w:t>
      </w:r>
    </w:p>
    <w:p w:rsidR="00AE0C9B" w:rsidRPr="00CC51E2" w:rsidRDefault="00AE0C9B" w:rsidP="00AE0C9B">
      <w:pPr>
        <w:spacing w:after="0" w:line="240" w:lineRule="auto"/>
        <w:jc w:val="both"/>
        <w:rPr>
          <w:rFonts w:ascii="Arial" w:hAnsi="Arial" w:cs="Arial"/>
          <w:sz w:val="20"/>
          <w:szCs w:val="20"/>
        </w:rPr>
      </w:pPr>
    </w:p>
    <w:p w:rsidR="00AE0C9B" w:rsidRPr="00CC51E2" w:rsidRDefault="00AE0C9B" w:rsidP="00AE0C9B">
      <w:pPr>
        <w:spacing w:after="0" w:line="240" w:lineRule="auto"/>
        <w:jc w:val="both"/>
        <w:rPr>
          <w:rFonts w:ascii="Arial" w:hAnsi="Arial" w:cs="Arial"/>
          <w:sz w:val="20"/>
          <w:szCs w:val="20"/>
        </w:rPr>
      </w:pPr>
      <w:r w:rsidRPr="00CC51E2">
        <w:rPr>
          <w:rFonts w:ascii="Arial" w:hAnsi="Arial" w:cs="Arial"/>
          <w:sz w:val="20"/>
          <w:szCs w:val="20"/>
        </w:rPr>
        <w:t xml:space="preserve">Con relación a la </w:t>
      </w:r>
      <w:r w:rsidRPr="00CC51E2">
        <w:rPr>
          <w:rFonts w:ascii="Arial" w:hAnsi="Arial" w:cs="Arial"/>
          <w:b/>
          <w:sz w:val="20"/>
          <w:szCs w:val="20"/>
        </w:rPr>
        <w:t>meta No. 4</w:t>
      </w:r>
      <w:r w:rsidRPr="00CC51E2">
        <w:rPr>
          <w:rFonts w:ascii="Arial" w:hAnsi="Arial" w:cs="Arial"/>
          <w:sz w:val="20"/>
          <w:szCs w:val="20"/>
        </w:rPr>
        <w:t>, “</w:t>
      </w:r>
      <w:r w:rsidRPr="00CC51E2">
        <w:rPr>
          <w:rFonts w:ascii="Arial" w:hAnsi="Arial" w:cs="Arial"/>
          <w:i/>
          <w:sz w:val="20"/>
          <w:szCs w:val="20"/>
        </w:rPr>
        <w:t>Adquirir predios en alto riesgo no mitigable vía decreto 511 de 2010</w:t>
      </w:r>
      <w:r w:rsidRPr="00CC51E2">
        <w:rPr>
          <w:rFonts w:ascii="Arial" w:hAnsi="Arial" w:cs="Arial"/>
          <w:sz w:val="20"/>
          <w:szCs w:val="20"/>
        </w:rPr>
        <w:t xml:space="preserve">”, se estableció como meta para el cuatrienio, la adquisición de 370 predios, de los cuales a en lo corrido del año 2017 se han adquirido 35, superando la meta de 29 adquisiciones prediales definidas para la vigencia. </w:t>
      </w:r>
    </w:p>
    <w:p w:rsidR="00AE0C9B" w:rsidRPr="00CC51E2" w:rsidRDefault="00AE0C9B" w:rsidP="00AE0C9B">
      <w:pPr>
        <w:spacing w:after="0" w:line="240" w:lineRule="auto"/>
        <w:jc w:val="both"/>
        <w:rPr>
          <w:rFonts w:ascii="Arial" w:hAnsi="Arial" w:cs="Arial"/>
          <w:sz w:val="20"/>
          <w:szCs w:val="20"/>
        </w:rPr>
      </w:pP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lastRenderedPageBreak/>
        <w:t xml:space="preserve">En cuanto a la </w:t>
      </w:r>
      <w:r w:rsidRPr="00CC51E2">
        <w:rPr>
          <w:rFonts w:ascii="Arial" w:hAnsi="Arial" w:cs="Arial"/>
          <w:b/>
          <w:sz w:val="20"/>
          <w:szCs w:val="20"/>
        </w:rPr>
        <w:t>meta No. 5</w:t>
      </w:r>
      <w:r w:rsidRPr="00CC51E2">
        <w:rPr>
          <w:rFonts w:ascii="Arial" w:hAnsi="Arial" w:cs="Arial"/>
          <w:sz w:val="20"/>
          <w:szCs w:val="20"/>
        </w:rPr>
        <w:t>, “</w:t>
      </w:r>
      <w:r w:rsidRPr="00CC51E2">
        <w:rPr>
          <w:rFonts w:ascii="Arial" w:hAnsi="Arial" w:cs="Arial"/>
          <w:i/>
          <w:sz w:val="20"/>
          <w:szCs w:val="20"/>
        </w:rPr>
        <w:t>Lograr que 2.102 hogares seleccionen vivienda</w:t>
      </w:r>
      <w:r w:rsidRPr="00CC51E2">
        <w:rPr>
          <w:rFonts w:ascii="Arial" w:hAnsi="Arial" w:cs="Arial"/>
          <w:sz w:val="20"/>
          <w:szCs w:val="20"/>
        </w:rPr>
        <w:t>”, para el 2017 se fijó la meta inicial de 419 hogares con selección de vivienda la cual fue superada y reformulada a 610 selecciones, logrando que 630 hicieran la selección correspondiente con corte a 31 de octubre de los corrientes. Las familias que a la fecha han seleccionado vivienda se distribuyen por localidades de la siguiente manera:</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12B6BABA" wp14:editId="07261C82">
            <wp:extent cx="5095875" cy="3667125"/>
            <wp:effectExtent l="0" t="0" r="9525" b="9525"/>
            <wp:docPr id="7" name="Gráfico 7">
              <a:extLst xmlns:a="http://schemas.openxmlformats.org/drawingml/2006/main">
                <a:ext uri="{FF2B5EF4-FFF2-40B4-BE49-F238E27FC236}">
                  <a16:creationId xmlns:a16="http://schemas.microsoft.com/office/drawing/2014/main" id="{197EAEF4-30E3-4DB3-8DBE-431A528BC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Base de Datos Selección de Vivienda – Dirección de Reasentamientos – Caja de la Vivienda Popular</w:t>
      </w:r>
    </w:p>
    <w:p w:rsidR="00AE0C9B" w:rsidRPr="00CC51E2" w:rsidRDefault="00AE0C9B" w:rsidP="00AE0C9B">
      <w:pPr>
        <w:spacing w:line="240" w:lineRule="auto"/>
        <w:jc w:val="center"/>
        <w:rPr>
          <w:rFonts w:ascii="Arial" w:hAnsi="Arial" w:cs="Arial"/>
          <w:sz w:val="20"/>
          <w:szCs w:val="20"/>
        </w:rPr>
      </w:pP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Adicionalmente, fue necesario introducir una nueva meta al proyecto de inversión tras la entrada en vigencia del Decreto 457 de 2017 para lograr la “</w:t>
      </w:r>
      <w:r w:rsidRPr="00CC51E2">
        <w:rPr>
          <w:rFonts w:ascii="Arial" w:hAnsi="Arial" w:cs="Arial"/>
          <w:i/>
          <w:sz w:val="20"/>
          <w:szCs w:val="20"/>
        </w:rPr>
        <w:t>Atención al 100% de las familias localizadas en el predio Vereditas en la localidad de Kennedy en el marco del decreto 457 de 2017, que cumplan los requisitos de ingreso al programa”</w:t>
      </w:r>
      <w:r w:rsidRPr="00CC51E2">
        <w:rPr>
          <w:rFonts w:ascii="Arial" w:hAnsi="Arial" w:cs="Arial"/>
          <w:sz w:val="20"/>
          <w:szCs w:val="20"/>
        </w:rPr>
        <w:t>. Sin embargo, a 31 de octubre sólo 11 familias realizaron la entrega de documentos para el respectivo estudio jurídico para la posterior expedición de las resoluciones de asignación del instrumento financiero. Se espera que a fecha 7 de noviembre de la vigencia, se alleguen los documentos de todos aquellos que voluntariamente deseen hacer la entrega de los predios. Vencido el término, el Instituto de Desarrollo Urbano – IDU procederá a hacer la recuperación de los predios, y la Dirección de Reasentamientos de la Caja de la Vivienda Popular realizará el cierre administrativo de los mismos.</w:t>
      </w:r>
    </w:p>
    <w:p w:rsidR="00AE0C9B" w:rsidRPr="00CC51E2" w:rsidRDefault="00AE0C9B" w:rsidP="00AE0C9B">
      <w:pPr>
        <w:spacing w:line="240" w:lineRule="auto"/>
        <w:jc w:val="both"/>
        <w:rPr>
          <w:rFonts w:ascii="Arial" w:hAnsi="Arial" w:cs="Arial"/>
          <w:b/>
          <w:sz w:val="20"/>
          <w:szCs w:val="20"/>
          <w:u w:val="single"/>
        </w:rPr>
      </w:pPr>
      <w:r w:rsidRPr="00CC51E2">
        <w:rPr>
          <w:rFonts w:ascii="Arial" w:hAnsi="Arial" w:cs="Arial"/>
          <w:b/>
          <w:sz w:val="20"/>
          <w:szCs w:val="20"/>
          <w:u w:val="single"/>
        </w:rPr>
        <w:t>3.1 Ejecución Presupuestal</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Respecto al logro de metas para la presente anualidad, la asignación de recursos se ha realizado de la siguiente manera en cumplimiento de la misionalidad de la Dirección de Reasentamientos:</w:t>
      </w:r>
    </w:p>
    <w:tbl>
      <w:tblPr>
        <w:tblW w:w="8760" w:type="dxa"/>
        <w:jc w:val="center"/>
        <w:tblCellMar>
          <w:left w:w="70" w:type="dxa"/>
          <w:right w:w="70" w:type="dxa"/>
        </w:tblCellMar>
        <w:tblLook w:val="04A0" w:firstRow="1" w:lastRow="0" w:firstColumn="1" w:lastColumn="0" w:noHBand="0" w:noVBand="1"/>
      </w:tblPr>
      <w:tblGrid>
        <w:gridCol w:w="2880"/>
        <w:gridCol w:w="1200"/>
        <w:gridCol w:w="1171"/>
        <w:gridCol w:w="1656"/>
        <w:gridCol w:w="1853"/>
      </w:tblGrid>
      <w:tr w:rsidR="00AE0C9B" w:rsidRPr="00CC51E2" w:rsidTr="00BD491D">
        <w:trPr>
          <w:trHeight w:val="480"/>
          <w:jc w:val="center"/>
        </w:trPr>
        <w:tc>
          <w:tcPr>
            <w:tcW w:w="2880" w:type="dxa"/>
            <w:tcBorders>
              <w:top w:val="single" w:sz="8" w:space="0" w:color="auto"/>
              <w:left w:val="single" w:sz="8" w:space="0" w:color="auto"/>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lastRenderedPageBreak/>
              <w:t>Meta Proyecto de Inversión</w:t>
            </w:r>
          </w:p>
        </w:tc>
        <w:tc>
          <w:tcPr>
            <w:tcW w:w="1200"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Magnitud</w:t>
            </w:r>
            <w:r w:rsidRPr="00CC51E2">
              <w:rPr>
                <w:rFonts w:ascii="Arial" w:eastAsia="Times New Roman" w:hAnsi="Arial" w:cs="Arial"/>
                <w:b/>
                <w:bCs/>
                <w:color w:val="FFFFFF"/>
                <w:sz w:val="20"/>
                <w:szCs w:val="20"/>
                <w:lang w:eastAsia="es-ES"/>
              </w:rPr>
              <w:br/>
              <w:t>meta</w:t>
            </w:r>
          </w:p>
        </w:tc>
        <w:tc>
          <w:tcPr>
            <w:tcW w:w="1171"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Logro</w:t>
            </w:r>
          </w:p>
        </w:tc>
        <w:tc>
          <w:tcPr>
            <w:tcW w:w="1656"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 xml:space="preserve">Presupuesto Disponible en pesos </w:t>
            </w:r>
          </w:p>
        </w:tc>
        <w:tc>
          <w:tcPr>
            <w:tcW w:w="1853" w:type="dxa"/>
            <w:tcBorders>
              <w:top w:val="single" w:sz="8" w:space="0" w:color="auto"/>
              <w:left w:val="nil"/>
              <w:bottom w:val="single" w:sz="4" w:space="0" w:color="auto"/>
              <w:right w:val="single" w:sz="8"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Presupuesto Ejecutado en pesos</w:t>
            </w:r>
          </w:p>
        </w:tc>
      </w:tr>
      <w:tr w:rsidR="00AE0C9B" w:rsidRPr="00CC51E2" w:rsidTr="00BD491D">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REASENTAR 4.000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1.771</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1.020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$9.621.496.323</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$ 6.733.994.394</w:t>
            </w:r>
          </w:p>
        </w:tc>
      </w:tr>
      <w:tr w:rsidR="00AE0C9B" w:rsidRPr="00CC51E2" w:rsidTr="00BD491D">
        <w:trPr>
          <w:trHeight w:val="96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RELOCALIZAR TRANSITORIAMENTE MEDIANTE AYUDA TEMPORAL A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77,27%</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$7.110.651.000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$ 6.730.628.612</w:t>
            </w:r>
          </w:p>
        </w:tc>
      </w:tr>
      <w:tr w:rsidR="00AE0C9B" w:rsidRPr="00CC51E2" w:rsidTr="00BD491D">
        <w:trPr>
          <w:trHeight w:val="96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ASIGNAR VALOR ÚNICO DE RECONOCIMIENTO A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220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216</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$11.868.043.177</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$ 11.526.422.808</w:t>
            </w:r>
          </w:p>
        </w:tc>
      </w:tr>
      <w:tr w:rsidR="00AE0C9B" w:rsidRPr="00CC51E2" w:rsidTr="00BD491D">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ADQUIRIR PREDIOS EN ALTO RIESGO NO MITIGABLE VÍA DECRETO 511 DE 2010</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29</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35</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$2.012.741.712</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$ 1.907.272.447</w:t>
            </w:r>
          </w:p>
        </w:tc>
      </w:tr>
      <w:tr w:rsidR="00AE0C9B" w:rsidRPr="00CC51E2" w:rsidTr="00BD491D">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SELECCIONAR VIVIENDA POR PARTE DE LAS FAMILIAS VINCULADAS AL PROGRAMA DE REASENTAMIENTO</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610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630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$102.760.000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$ 102.760.000</w:t>
            </w:r>
          </w:p>
        </w:tc>
      </w:tr>
      <w:tr w:rsidR="00AE0C9B" w:rsidRPr="00CC51E2" w:rsidTr="00BD491D">
        <w:trPr>
          <w:trHeight w:val="168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ATENCIÓN AL 100% DE LAS FAMILIAS LOCALIZADAS EN EL PREDIO VEREDITAS EN LA LOCALIDAD DE KENNEDY EN EL MARCO DEL DECRETO 457 DE 2017, QUE CUMPLAN LOS REQUISITOS DE INGRESO AL PROGRAMA.</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$11.616.556.670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$ 760.526.667</w:t>
            </w:r>
          </w:p>
        </w:tc>
      </w:tr>
      <w:tr w:rsidR="00AE0C9B" w:rsidRPr="00CC51E2" w:rsidTr="00BD491D">
        <w:trPr>
          <w:trHeight w:val="315"/>
          <w:jc w:val="center"/>
        </w:trPr>
        <w:tc>
          <w:tcPr>
            <w:tcW w:w="5251"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rsidR="00AE0C9B" w:rsidRPr="00CC51E2" w:rsidRDefault="00AE0C9B" w:rsidP="00BD491D">
            <w:pPr>
              <w:spacing w:after="0" w:line="240" w:lineRule="auto"/>
              <w:jc w:val="center"/>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TOTAL</w:t>
            </w:r>
          </w:p>
        </w:tc>
        <w:tc>
          <w:tcPr>
            <w:tcW w:w="1656" w:type="dxa"/>
            <w:tcBorders>
              <w:top w:val="nil"/>
              <w:left w:val="nil"/>
              <w:bottom w:val="single" w:sz="8" w:space="0" w:color="auto"/>
              <w:right w:val="single" w:sz="4" w:space="0" w:color="auto"/>
            </w:tcBorders>
            <w:shd w:val="clear" w:color="auto" w:fill="auto"/>
            <w:noWrap/>
            <w:vAlign w:val="center"/>
            <w:hideMark/>
          </w:tcPr>
          <w:p w:rsidR="00AE0C9B" w:rsidRPr="00CC51E2" w:rsidRDefault="00AE0C9B" w:rsidP="00BD491D">
            <w:pPr>
              <w:spacing w:after="0" w:line="240" w:lineRule="auto"/>
              <w:jc w:val="right"/>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 xml:space="preserve"> $     42.332.248.882 </w:t>
            </w:r>
          </w:p>
        </w:tc>
        <w:tc>
          <w:tcPr>
            <w:tcW w:w="1853" w:type="dxa"/>
            <w:tcBorders>
              <w:top w:val="nil"/>
              <w:left w:val="nil"/>
              <w:bottom w:val="single" w:sz="8" w:space="0" w:color="auto"/>
              <w:right w:val="single" w:sz="8" w:space="0" w:color="auto"/>
            </w:tcBorders>
            <w:shd w:val="clear" w:color="auto" w:fill="auto"/>
            <w:noWrap/>
            <w:vAlign w:val="center"/>
            <w:hideMark/>
          </w:tcPr>
          <w:p w:rsidR="00AE0C9B" w:rsidRPr="00CC51E2" w:rsidRDefault="00AE0C9B" w:rsidP="00BD491D">
            <w:pPr>
              <w:spacing w:after="0" w:line="240" w:lineRule="auto"/>
              <w:jc w:val="right"/>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 xml:space="preserve"> $        27.761.604.928 </w:t>
            </w:r>
          </w:p>
        </w:tc>
      </w:tr>
    </w:tbl>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PREDIS</w:t>
      </w:r>
    </w:p>
    <w:p w:rsidR="00AE0C9B" w:rsidRPr="00CC51E2" w:rsidRDefault="00AE0C9B" w:rsidP="00AE0C9B">
      <w:pPr>
        <w:spacing w:line="240" w:lineRule="auto"/>
        <w:jc w:val="center"/>
        <w:rPr>
          <w:rFonts w:ascii="Arial" w:hAnsi="Arial" w:cs="Arial"/>
          <w:sz w:val="20"/>
          <w:szCs w:val="20"/>
        </w:rPr>
      </w:pPr>
    </w:p>
    <w:p w:rsidR="00AE0C9B" w:rsidRPr="00CC51E2" w:rsidRDefault="00AE0C9B" w:rsidP="00AE0C9B">
      <w:pPr>
        <w:spacing w:line="240" w:lineRule="auto"/>
        <w:jc w:val="both"/>
        <w:rPr>
          <w:rFonts w:ascii="Arial" w:hAnsi="Arial" w:cs="Arial"/>
          <w:b/>
          <w:sz w:val="20"/>
          <w:szCs w:val="20"/>
          <w:u w:val="single"/>
        </w:rPr>
      </w:pPr>
      <w:r w:rsidRPr="00CC51E2">
        <w:rPr>
          <w:rFonts w:ascii="Arial" w:hAnsi="Arial" w:cs="Arial"/>
          <w:b/>
          <w:sz w:val="20"/>
          <w:szCs w:val="20"/>
          <w:u w:val="single"/>
        </w:rPr>
        <w:t>3.2 Retos y obstáculos</w:t>
      </w:r>
    </w:p>
    <w:p w:rsidR="00AE0C9B" w:rsidRPr="00CC51E2" w:rsidRDefault="00AE0C9B" w:rsidP="0057468E">
      <w:pPr>
        <w:pStyle w:val="Prrafodelista"/>
        <w:numPr>
          <w:ilvl w:val="0"/>
          <w:numId w:val="12"/>
        </w:numPr>
        <w:spacing w:line="240" w:lineRule="auto"/>
        <w:jc w:val="both"/>
        <w:rPr>
          <w:rFonts w:ascii="Arial" w:hAnsi="Arial" w:cs="Arial"/>
          <w:b/>
          <w:sz w:val="20"/>
          <w:szCs w:val="20"/>
        </w:rPr>
      </w:pPr>
      <w:r w:rsidRPr="00CC51E2">
        <w:rPr>
          <w:rFonts w:ascii="Arial" w:hAnsi="Arial" w:cs="Arial"/>
          <w:sz w:val="20"/>
          <w:szCs w:val="20"/>
        </w:rPr>
        <w:t>El no cumplimiento de la meta No.1 obedece retrasos en la entrega de los proyectos de construcción tanto de aquellos propios de la Caja de la Vivienda Popular como con constructores privados.</w:t>
      </w:r>
    </w:p>
    <w:p w:rsidR="00AE0C9B" w:rsidRPr="00CC51E2" w:rsidRDefault="00AE0C9B" w:rsidP="0057468E">
      <w:pPr>
        <w:pStyle w:val="Prrafodelista"/>
        <w:numPr>
          <w:ilvl w:val="0"/>
          <w:numId w:val="12"/>
        </w:numPr>
        <w:spacing w:line="240" w:lineRule="auto"/>
        <w:jc w:val="both"/>
        <w:rPr>
          <w:rFonts w:ascii="Arial" w:hAnsi="Arial" w:cs="Arial"/>
          <w:b/>
          <w:sz w:val="20"/>
          <w:szCs w:val="20"/>
        </w:rPr>
      </w:pPr>
      <w:r w:rsidRPr="00CC51E2">
        <w:rPr>
          <w:rFonts w:ascii="Arial" w:hAnsi="Arial" w:cs="Arial"/>
          <w:sz w:val="20"/>
          <w:szCs w:val="20"/>
        </w:rPr>
        <w:t>No se presentan avances significativos en la meta de “</w:t>
      </w:r>
      <w:r w:rsidRPr="00CC51E2">
        <w:rPr>
          <w:rFonts w:ascii="Arial" w:hAnsi="Arial" w:cs="Arial"/>
          <w:i/>
          <w:sz w:val="20"/>
          <w:szCs w:val="20"/>
        </w:rPr>
        <w:t xml:space="preserve">Atención al 100% de las familias localizadas en el predio Vereditas en la localidad de Kennedy en el marco del decreto 457 de 2017, que cumplan los requisitos de ingreso al programa” </w:t>
      </w:r>
      <w:r w:rsidRPr="00CC51E2">
        <w:rPr>
          <w:rFonts w:ascii="Arial" w:hAnsi="Arial" w:cs="Arial"/>
          <w:sz w:val="20"/>
          <w:szCs w:val="20"/>
        </w:rPr>
        <w:t xml:space="preserve">por la renuencia de las familias a aceptar la oferta </w:t>
      </w:r>
      <w:r w:rsidRPr="00CC51E2">
        <w:rPr>
          <w:rFonts w:ascii="Arial" w:hAnsi="Arial" w:cs="Arial"/>
          <w:sz w:val="20"/>
          <w:szCs w:val="20"/>
        </w:rPr>
        <w:lastRenderedPageBreak/>
        <w:t>social ofrecida por el Distrito y al rechazo a los profesionales sociales y técnicos que los visitan por parte de la Caja de la Vivienda Popular para dar a conocer la función de la Dirección de Reasentamientos en cumplimiento de mencionado decreto.</w:t>
      </w:r>
    </w:p>
    <w:p w:rsidR="00AE0C9B" w:rsidRPr="00CC51E2" w:rsidRDefault="00AE0C9B" w:rsidP="00AE0C9B">
      <w:pPr>
        <w:spacing w:line="240" w:lineRule="auto"/>
        <w:jc w:val="both"/>
        <w:rPr>
          <w:rFonts w:ascii="Arial" w:hAnsi="Arial" w:cs="Arial"/>
          <w:b/>
          <w:sz w:val="20"/>
          <w:szCs w:val="20"/>
        </w:rPr>
      </w:pPr>
      <w:r w:rsidRPr="00CC51E2">
        <w:rPr>
          <w:rFonts w:ascii="Arial" w:hAnsi="Arial" w:cs="Arial"/>
          <w:b/>
          <w:sz w:val="20"/>
          <w:szCs w:val="20"/>
          <w:u w:val="single"/>
        </w:rPr>
        <w:t>3.3 Recomendaciones y Propuestas</w:t>
      </w:r>
      <w:r w:rsidRPr="00CC51E2">
        <w:rPr>
          <w:rFonts w:ascii="Arial" w:hAnsi="Arial" w:cs="Arial"/>
          <w:b/>
          <w:sz w:val="20"/>
          <w:szCs w:val="20"/>
        </w:rPr>
        <w:t xml:space="preserve"> </w:t>
      </w:r>
    </w:p>
    <w:p w:rsidR="00AE0C9B" w:rsidRPr="00CC51E2" w:rsidRDefault="00AE0C9B" w:rsidP="0057468E">
      <w:pPr>
        <w:pStyle w:val="Prrafodelista"/>
        <w:numPr>
          <w:ilvl w:val="0"/>
          <w:numId w:val="11"/>
        </w:numPr>
        <w:spacing w:line="240" w:lineRule="auto"/>
        <w:jc w:val="both"/>
        <w:rPr>
          <w:rFonts w:ascii="Arial" w:hAnsi="Arial" w:cs="Arial"/>
          <w:sz w:val="20"/>
          <w:szCs w:val="20"/>
        </w:rPr>
      </w:pPr>
      <w:r w:rsidRPr="00CC51E2">
        <w:rPr>
          <w:rFonts w:ascii="Arial" w:hAnsi="Arial" w:cs="Arial"/>
          <w:sz w:val="20"/>
          <w:szCs w:val="20"/>
        </w:rPr>
        <w:t>Acompañamiento social permanente para que las familias reconozcan los deberes y responsabilidades que adquieren al ingresar al programa de reasentamientos, a la vez que agilizan los procesos fuera del alcance de la dirección.</w:t>
      </w:r>
    </w:p>
    <w:p w:rsidR="00AE0C9B" w:rsidRPr="00CC51E2" w:rsidRDefault="00AE0C9B" w:rsidP="0057468E">
      <w:pPr>
        <w:pStyle w:val="Prrafodelista"/>
        <w:numPr>
          <w:ilvl w:val="0"/>
          <w:numId w:val="11"/>
        </w:numPr>
        <w:spacing w:line="240" w:lineRule="auto"/>
        <w:jc w:val="both"/>
        <w:rPr>
          <w:rFonts w:ascii="Arial" w:hAnsi="Arial" w:cs="Arial"/>
          <w:sz w:val="20"/>
          <w:szCs w:val="20"/>
        </w:rPr>
      </w:pPr>
      <w:r w:rsidRPr="00CC51E2">
        <w:rPr>
          <w:rFonts w:ascii="Arial" w:hAnsi="Arial" w:cs="Arial"/>
          <w:sz w:val="20"/>
          <w:szCs w:val="20"/>
        </w:rPr>
        <w:t>La Dirección de Reasentamientos realizará la revisión de la Base de Datos Misional y de expedientes para aquellos casos de hogares reasentados cuyas actas de verificación de traslado no se hayan realizado.</w:t>
      </w:r>
    </w:p>
    <w:p w:rsidR="00AE0C9B" w:rsidRPr="00CC51E2" w:rsidRDefault="00AE0C9B" w:rsidP="00AE0C9B">
      <w:pPr>
        <w:pStyle w:val="Prrafodelista"/>
        <w:spacing w:line="240" w:lineRule="auto"/>
        <w:jc w:val="both"/>
        <w:rPr>
          <w:rFonts w:ascii="Arial" w:hAnsi="Arial" w:cs="Arial"/>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CONTRATACIONES REALIZADAS</w:t>
      </w:r>
    </w:p>
    <w:p w:rsidR="00AE0C9B" w:rsidRPr="00CC51E2" w:rsidRDefault="00AE0C9B" w:rsidP="00AE0C9B">
      <w:pPr>
        <w:pStyle w:val="Prrafodelista"/>
        <w:shd w:val="clear" w:color="auto" w:fill="FFFFFF"/>
        <w:spacing w:after="0" w:line="240" w:lineRule="auto"/>
        <w:jc w:val="both"/>
        <w:rPr>
          <w:rFonts w:ascii="Arial" w:eastAsia="Times New Roman" w:hAnsi="Arial" w:cs="Arial"/>
          <w:b/>
          <w:color w:val="222222"/>
          <w:sz w:val="20"/>
          <w:szCs w:val="20"/>
          <w:lang w:eastAsia="es-ES"/>
        </w:rPr>
      </w:pPr>
    </w:p>
    <w:p w:rsidR="00AE0C9B" w:rsidRPr="00CC51E2" w:rsidRDefault="00AE0C9B" w:rsidP="00AE0C9B">
      <w:pPr>
        <w:shd w:val="clear" w:color="auto" w:fill="FFFFFF"/>
        <w:spacing w:after="0" w:line="240" w:lineRule="auto"/>
        <w:jc w:val="both"/>
        <w:rPr>
          <w:rFonts w:ascii="Arial" w:eastAsia="Times New Roman" w:hAnsi="Arial" w:cs="Arial"/>
          <w:color w:val="222222"/>
          <w:sz w:val="20"/>
          <w:szCs w:val="20"/>
          <w:lang w:eastAsia="es-ES"/>
        </w:rPr>
      </w:pPr>
    </w:p>
    <w:p w:rsidR="00AE0C9B" w:rsidRPr="00CC51E2" w:rsidRDefault="00AE0C9B" w:rsidP="00AE0C9B">
      <w:pPr>
        <w:shd w:val="clear" w:color="auto" w:fill="FFFFFF"/>
        <w:spacing w:after="0" w:line="240" w:lineRule="auto"/>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En aplicación de los principios de planeación y de economía contractual, la Dirección de Reasentamientos de la Caja de la Vivienda Popular, ha trabajado en la estructuración y diseño de estudios y proyectos requeridos para satisfacer las necesidades de la Dirección, análisis realizados desde la perspectiva legal, comercial, financiera, organizacional y técnica correspondiente.</w:t>
      </w:r>
    </w:p>
    <w:p w:rsidR="00AE0C9B" w:rsidRPr="00CC51E2" w:rsidRDefault="00AE0C9B" w:rsidP="00AE0C9B">
      <w:pPr>
        <w:shd w:val="clear" w:color="auto" w:fill="FFFFFF"/>
        <w:spacing w:after="0" w:line="240" w:lineRule="auto"/>
        <w:jc w:val="both"/>
        <w:rPr>
          <w:rFonts w:ascii="Arial" w:eastAsia="Times New Roman" w:hAnsi="Arial" w:cs="Arial"/>
          <w:sz w:val="20"/>
          <w:szCs w:val="20"/>
          <w:lang w:eastAsia="es-ES"/>
        </w:rPr>
      </w:pPr>
    </w:p>
    <w:p w:rsidR="00AE0C9B" w:rsidRPr="00CC51E2" w:rsidRDefault="00AE0C9B" w:rsidP="00AE0C9B">
      <w:pPr>
        <w:shd w:val="clear" w:color="auto" w:fill="FFFFFF"/>
        <w:spacing w:after="0" w:line="240" w:lineRule="auto"/>
        <w:jc w:val="both"/>
        <w:rPr>
          <w:rFonts w:ascii="Arial" w:hAnsi="Arial" w:cs="Arial"/>
          <w:sz w:val="20"/>
          <w:szCs w:val="20"/>
        </w:rPr>
      </w:pPr>
      <w:r w:rsidRPr="00CC51E2">
        <w:rPr>
          <w:rFonts w:ascii="Arial" w:eastAsia="Times New Roman" w:hAnsi="Arial" w:cs="Arial"/>
          <w:sz w:val="20"/>
          <w:szCs w:val="20"/>
          <w:lang w:eastAsia="es-ES"/>
        </w:rPr>
        <w:t xml:space="preserve">Lo anterior ha implicado, tener la claridad de las necesidades a satisfacer de manera prioritaria, en el sentido de que previo a la iniciación de un proceso de contratación se debe elaborar un análisis, que permita </w:t>
      </w:r>
      <w:r w:rsidRPr="00CC51E2">
        <w:rPr>
          <w:rFonts w:ascii="Arial" w:hAnsi="Arial" w:cs="Arial"/>
          <w:sz w:val="20"/>
          <w:szCs w:val="20"/>
        </w:rPr>
        <w:t>el despliegue de los proyectos específicos por medio de los cuales se alcanzarán los objetivos estratégicos y se logrará el impacto positivo en los procesos y las actividades cotidianas de la Dirección de Reasentamientos, por tanto a la fecha se ha trabajado en el análisis de las iniciativas presentadas a consideración del Director, por parte de los profesionales titulares de las dependencias responsables del funcionamiento de la Dirección, con el propósito de avanzar en la etapa precontractual de los procesos, vigilando que éstos resulten acordes a las atribuciones y responsabilidades del área misional y con el objeto de emprender el desarrollo de los proyectos específicos que a la fecha resultan necesarios para la Dirección se ha procedido a la estructuración de los mismos, lo que implica la solicitud y trámite para la obtención de los recursos necesarios para adelantar los procesos contractuales, enmarcados dentro de las modalidades de selección correspondientes, de igual manera se han adelantado las adiciones y prorrogas de contratos de prestación de servicios profesionales y de apoyo a la gestión, necesarios para el desarrollo de los proyectos dirigidos al cumplimiento de metas de la dirección.</w:t>
      </w:r>
    </w:p>
    <w:p w:rsidR="00AE0C9B" w:rsidRPr="00CC51E2" w:rsidRDefault="00AE0C9B" w:rsidP="00AE0C9B">
      <w:pPr>
        <w:shd w:val="clear" w:color="auto" w:fill="FFFFFF"/>
        <w:spacing w:after="0" w:line="240" w:lineRule="auto"/>
        <w:jc w:val="both"/>
        <w:rPr>
          <w:rFonts w:ascii="Arial" w:hAnsi="Arial" w:cs="Arial"/>
          <w:sz w:val="20"/>
          <w:szCs w:val="20"/>
        </w:rPr>
      </w:pPr>
    </w:p>
    <w:p w:rsidR="00AE0C9B" w:rsidRPr="00CC51E2" w:rsidRDefault="00AE0C9B" w:rsidP="00AE0C9B">
      <w:pPr>
        <w:shd w:val="clear" w:color="auto" w:fill="FFFFFF"/>
        <w:spacing w:after="0" w:line="240" w:lineRule="auto"/>
        <w:jc w:val="both"/>
        <w:rPr>
          <w:rFonts w:ascii="Arial" w:eastAsia="Times New Roman" w:hAnsi="Arial" w:cs="Arial"/>
          <w:bCs/>
          <w:color w:val="000000"/>
          <w:sz w:val="20"/>
          <w:szCs w:val="20"/>
          <w:lang w:eastAsia="es-ES"/>
        </w:rPr>
      </w:pPr>
      <w:r w:rsidRPr="00CC51E2">
        <w:rPr>
          <w:rFonts w:ascii="Arial" w:eastAsia="Times New Roman" w:hAnsi="Arial" w:cs="Arial"/>
          <w:bCs/>
          <w:color w:val="000000"/>
          <w:sz w:val="20"/>
          <w:szCs w:val="20"/>
          <w:lang w:eastAsia="es-ES"/>
        </w:rPr>
        <w:t>A 31 de octubre, la Dirección de Reasentamientos contaba con el servicio de 155 contratistas para la atención de las 6 metas que conforman el proyecto de inversión 3075.</w:t>
      </w:r>
    </w:p>
    <w:p w:rsidR="00AE0C9B" w:rsidRPr="00CC51E2" w:rsidRDefault="00AE0C9B" w:rsidP="00AE0C9B">
      <w:pPr>
        <w:shd w:val="clear" w:color="auto" w:fill="FFFFFF"/>
        <w:spacing w:after="0" w:line="240" w:lineRule="auto"/>
        <w:jc w:val="both"/>
        <w:rPr>
          <w:rFonts w:ascii="Arial" w:hAnsi="Arial" w:cs="Arial"/>
          <w:sz w:val="20"/>
          <w:szCs w:val="20"/>
        </w:rPr>
      </w:pPr>
    </w:p>
    <w:p w:rsidR="00AE0C9B" w:rsidRPr="00CC51E2" w:rsidRDefault="00AE0C9B" w:rsidP="00AE0C9B">
      <w:pPr>
        <w:spacing w:line="240" w:lineRule="auto"/>
        <w:jc w:val="both"/>
        <w:rPr>
          <w:rFonts w:ascii="Arial" w:eastAsia="Times New Roman" w:hAnsi="Arial" w:cs="Arial"/>
          <w:bCs/>
          <w:color w:val="000000"/>
          <w:sz w:val="20"/>
          <w:szCs w:val="20"/>
          <w:lang w:eastAsia="es-ES"/>
        </w:rPr>
      </w:pPr>
      <w:r w:rsidRPr="00CC51E2">
        <w:rPr>
          <w:rFonts w:ascii="Arial" w:eastAsia="Times New Roman" w:hAnsi="Arial" w:cs="Arial"/>
          <w:bCs/>
          <w:color w:val="000000"/>
          <w:sz w:val="20"/>
          <w:szCs w:val="20"/>
          <w:lang w:eastAsia="es-ES"/>
        </w:rPr>
        <w:t>Además, se firmó el contrato correspondiente al concurso de méritos cuyo objeto es “</w:t>
      </w:r>
      <w:r w:rsidRPr="00CC51E2">
        <w:rPr>
          <w:rFonts w:ascii="Arial" w:eastAsia="Times New Roman" w:hAnsi="Arial" w:cs="Arial"/>
          <w:bCs/>
          <w:i/>
          <w:color w:val="000000"/>
          <w:sz w:val="20"/>
          <w:szCs w:val="20"/>
          <w:lang w:eastAsia="es-ES"/>
        </w:rPr>
        <w:t>Realizar la consultoría integral para el diagnóstico y posterior estudio jurídico documental de los expedientes de la Dirección de Reasentamientos, que se encuentran en estado activo y sin asignación de recursos dentro de los procesos de las familias asentadas en zonas de alto riesgo no mitigable, en cumplimiento de la misionalidad de la dirección</w:t>
      </w:r>
      <w:r w:rsidRPr="00CC51E2">
        <w:rPr>
          <w:rFonts w:ascii="Arial" w:eastAsia="Times New Roman" w:hAnsi="Arial" w:cs="Arial"/>
          <w:bCs/>
          <w:color w:val="000000"/>
          <w:sz w:val="20"/>
          <w:szCs w:val="20"/>
          <w:lang w:eastAsia="es-ES"/>
        </w:rPr>
        <w:t>.” Este contrato tiene un valor de QUINIENTOS TREINTA MILLONES DOSCIENTOS TREINTA Y SIETE MIL DOSCIENTOS CINCUENTA Y DOS PESOS ($530.237.252) M/CTE.</w:t>
      </w:r>
    </w:p>
    <w:p w:rsidR="00311CEC" w:rsidRDefault="00311CEC" w:rsidP="00AE0C9B">
      <w:pPr>
        <w:spacing w:line="240" w:lineRule="auto"/>
        <w:jc w:val="both"/>
        <w:rPr>
          <w:rFonts w:ascii="Arial" w:eastAsia="Times New Roman" w:hAnsi="Arial" w:cs="Arial"/>
          <w:b/>
          <w:bCs/>
          <w:color w:val="000000"/>
          <w:sz w:val="20"/>
          <w:szCs w:val="20"/>
          <w:lang w:eastAsia="es-ES"/>
        </w:rPr>
      </w:pPr>
    </w:p>
    <w:p w:rsidR="006E635E" w:rsidRDefault="006E635E" w:rsidP="00AE0C9B">
      <w:pPr>
        <w:spacing w:line="240" w:lineRule="auto"/>
        <w:jc w:val="both"/>
        <w:rPr>
          <w:rFonts w:ascii="Arial" w:eastAsia="Times New Roman" w:hAnsi="Arial" w:cs="Arial"/>
          <w:b/>
          <w:bCs/>
          <w:color w:val="000000"/>
          <w:sz w:val="20"/>
          <w:szCs w:val="20"/>
          <w:lang w:eastAsia="es-ES"/>
        </w:rPr>
      </w:pPr>
    </w:p>
    <w:p w:rsidR="006E635E" w:rsidRPr="00CC51E2" w:rsidRDefault="006E635E" w:rsidP="00AE0C9B">
      <w:pPr>
        <w:spacing w:line="240" w:lineRule="auto"/>
        <w:jc w:val="both"/>
        <w:rPr>
          <w:rFonts w:ascii="Arial" w:eastAsia="Times New Roman" w:hAnsi="Arial" w:cs="Arial"/>
          <w:b/>
          <w:bCs/>
          <w:color w:val="000000"/>
          <w:sz w:val="20"/>
          <w:szCs w:val="20"/>
          <w:lang w:eastAsia="es-ES"/>
        </w:rPr>
      </w:pPr>
    </w:p>
    <w:p w:rsidR="00AE0C9B" w:rsidRPr="00CC51E2" w:rsidRDefault="00AE0C9B" w:rsidP="0057468E">
      <w:pPr>
        <w:pStyle w:val="Prrafodelista"/>
        <w:numPr>
          <w:ilvl w:val="0"/>
          <w:numId w:val="13"/>
        </w:numPr>
        <w:spacing w:line="240" w:lineRule="auto"/>
        <w:jc w:val="both"/>
        <w:rPr>
          <w:rFonts w:ascii="Arial" w:eastAsia="Times New Roman" w:hAnsi="Arial" w:cs="Arial"/>
          <w:b/>
          <w:sz w:val="20"/>
          <w:szCs w:val="20"/>
          <w:u w:val="single"/>
          <w:lang w:eastAsia="es-ES"/>
        </w:rPr>
      </w:pPr>
      <w:r w:rsidRPr="00CC51E2">
        <w:rPr>
          <w:rFonts w:ascii="Arial" w:eastAsia="Times New Roman" w:hAnsi="Arial" w:cs="Arial"/>
          <w:b/>
          <w:sz w:val="20"/>
          <w:szCs w:val="20"/>
          <w:u w:val="single"/>
          <w:lang w:eastAsia="es-ES"/>
        </w:rPr>
        <w:lastRenderedPageBreak/>
        <w:t xml:space="preserve">PLAN DE MEJORAMIENTO </w:t>
      </w:r>
    </w:p>
    <w:p w:rsidR="00AE0C9B" w:rsidRPr="00CC51E2" w:rsidRDefault="00AE0C9B" w:rsidP="00AE0C9B">
      <w:pPr>
        <w:spacing w:line="240" w:lineRule="auto"/>
        <w:ind w:left="360"/>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 xml:space="preserve">Durante el año 2017, se han modificado los Procedimientos de Reubicación Definitiva, Relocalización Transitoria, Cuentas de Ahorro Programado – CAP, Adquisición de Predios y se creó el Procedimiento de Selección de Vivienda. </w:t>
      </w:r>
    </w:p>
    <w:p w:rsidR="00AE0C9B" w:rsidRPr="00CC51E2" w:rsidRDefault="00AE0C9B" w:rsidP="00AE0C9B">
      <w:pPr>
        <w:spacing w:line="240" w:lineRule="auto"/>
        <w:ind w:left="360"/>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Por otra parte, se ha avanzado en el desarrollo del sistema de información geográfica de la Dirección de Reasentamientos, donde se encuentra finalizado el módulo de relocalización transitoria, se logran consultar mapas georreferenciados y se ha migrado la información de la Base de Datos Misional. Se ha logrado perfeccionar la visualización geográfica de las familias y predios en relocalización, el tablero de indicadores de gestión en tiempo real, el sistema de gestión de procesos que permite tener trazabilidad de cada caso y la gestión automatizada para expedición de resoluciones y memorando de autorización de pago.</w:t>
      </w:r>
    </w:p>
    <w:p w:rsidR="00AE0C9B" w:rsidRPr="00CC51E2" w:rsidRDefault="00AE0C9B" w:rsidP="00AE0C9B">
      <w:pPr>
        <w:spacing w:line="240" w:lineRule="auto"/>
        <w:ind w:left="360"/>
        <w:jc w:val="both"/>
        <w:rPr>
          <w:rFonts w:ascii="Arial" w:eastAsia="Times New Roman" w:hAnsi="Arial" w:cs="Arial"/>
          <w:sz w:val="20"/>
          <w:szCs w:val="20"/>
          <w:lang w:eastAsia="es-ES"/>
        </w:rPr>
      </w:pPr>
    </w:p>
    <w:p w:rsidR="0057468E" w:rsidRPr="00CC51E2" w:rsidRDefault="0057468E">
      <w:pPr>
        <w:spacing w:after="0" w:line="240" w:lineRule="auto"/>
        <w:rPr>
          <w:rFonts w:ascii="Arial" w:hAnsi="Arial" w:cs="Arial"/>
          <w:b/>
          <w:sz w:val="20"/>
          <w:szCs w:val="20"/>
        </w:rPr>
      </w:pPr>
      <w:r w:rsidRPr="00CC51E2">
        <w:rPr>
          <w:rFonts w:ascii="Arial" w:hAnsi="Arial" w:cs="Arial"/>
          <w:b/>
          <w:sz w:val="20"/>
          <w:szCs w:val="20"/>
        </w:rPr>
        <w:br w:type="page"/>
      </w:r>
    </w:p>
    <w:p w:rsidR="0057468E" w:rsidRPr="00CC51E2" w:rsidRDefault="0057468E" w:rsidP="00B52A9F">
      <w:pPr>
        <w:spacing w:after="0" w:line="240" w:lineRule="auto"/>
        <w:ind w:left="2124" w:hanging="2124"/>
        <w:jc w:val="both"/>
        <w:rPr>
          <w:rFonts w:ascii="Arial" w:hAnsi="Arial" w:cs="Arial"/>
          <w:b/>
          <w:sz w:val="20"/>
          <w:szCs w:val="20"/>
        </w:rPr>
      </w:pPr>
    </w:p>
    <w:p w:rsidR="00CC51E2" w:rsidRDefault="00CC51E2" w:rsidP="0057468E">
      <w:pPr>
        <w:spacing w:line="240" w:lineRule="auto"/>
        <w:jc w:val="center"/>
        <w:rPr>
          <w:rFonts w:ascii="Arial" w:hAnsi="Arial" w:cs="Arial"/>
          <w:b/>
          <w:sz w:val="20"/>
          <w:szCs w:val="20"/>
        </w:rPr>
      </w:pP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DIRECCIÓN DE GESTIÓN CORPORATIVA Y CONTROL INTERNO DISCIPLINARIO</w:t>
      </w:r>
    </w:p>
    <w:p w:rsidR="0057468E" w:rsidRPr="00CC51E2" w:rsidRDefault="0057468E" w:rsidP="0057468E">
      <w:pPr>
        <w:spacing w:after="0" w:line="240" w:lineRule="auto"/>
        <w:ind w:left="2124" w:hanging="2124"/>
        <w:jc w:val="both"/>
        <w:rPr>
          <w:rFonts w:ascii="Arial" w:hAnsi="Arial" w:cs="Arial"/>
          <w:b/>
          <w:sz w:val="20"/>
          <w:szCs w:val="20"/>
        </w:rPr>
      </w:pPr>
    </w:p>
    <w:p w:rsidR="00FB40A1" w:rsidRPr="00CC51E2" w:rsidRDefault="00FB40A1" w:rsidP="00FB40A1">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FB40A1" w:rsidRPr="00CC51E2" w:rsidRDefault="00FB40A1" w:rsidP="0057468E">
      <w:pPr>
        <w:spacing w:after="0" w:line="240" w:lineRule="auto"/>
        <w:jc w:val="both"/>
        <w:rPr>
          <w:rFonts w:ascii="Arial" w:hAnsi="Arial" w:cs="Arial"/>
          <w:sz w:val="20"/>
          <w:szCs w:val="20"/>
        </w:rPr>
      </w:pP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404 “Fortalecimiento institucional para aumentar la eficiencia en la Gestión”.</w:t>
      </w: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1174 “Fortalecimiento de las Tecnologías de información y Comunicación”.</w:t>
      </w:r>
    </w:p>
    <w:p w:rsidR="0057468E" w:rsidRPr="00CC51E2" w:rsidRDefault="0057468E" w:rsidP="0057468E">
      <w:pPr>
        <w:spacing w:after="0" w:line="240" w:lineRule="auto"/>
        <w:ind w:left="2124" w:hanging="2124"/>
        <w:jc w:val="both"/>
        <w:rPr>
          <w:rFonts w:ascii="Arial" w:hAnsi="Arial" w:cs="Arial"/>
          <w:b/>
          <w:sz w:val="20"/>
          <w:szCs w:val="20"/>
        </w:rPr>
      </w:pPr>
    </w:p>
    <w:p w:rsidR="006E635E" w:rsidRDefault="006E635E" w:rsidP="00B52A9F">
      <w:pPr>
        <w:jc w:val="both"/>
        <w:rPr>
          <w:rFonts w:ascii="Arial" w:hAnsi="Arial" w:cs="Arial"/>
          <w:sz w:val="20"/>
          <w:szCs w:val="20"/>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presente informe de gestión y resultados tiene como objetivo, presentar los logros alcanzados por la Dirección de Gestión Corporativa y CID para el período comprendido entre el 18 de febrero de 2016 y el 31 de octubre de 2017. La gestión se orientó en primera medida en apoyar a todas las Direcciones Misionales para lograr conjuntamente el cumplimiento de la misión, los objetivos estratégicos y los compromisos que le competen a la entidad frente a los Planes de Desarrollo: </w:t>
      </w:r>
      <w:r w:rsidRPr="00CC51E2">
        <w:rPr>
          <w:rFonts w:ascii="Arial" w:hAnsi="Arial" w:cs="Arial"/>
          <w:b/>
          <w:sz w:val="20"/>
          <w:szCs w:val="20"/>
        </w:rPr>
        <w:t>“BOGOTÁ HUMANA”</w:t>
      </w:r>
      <w:r w:rsidRPr="00CC51E2">
        <w:rPr>
          <w:rFonts w:ascii="Arial" w:hAnsi="Arial" w:cs="Arial"/>
          <w:sz w:val="20"/>
          <w:szCs w:val="20"/>
        </w:rPr>
        <w:t xml:space="preserve"> en su etapa final y el inicio e implementación de </w:t>
      </w:r>
      <w:r w:rsidRPr="00CC51E2">
        <w:rPr>
          <w:rFonts w:ascii="Arial" w:hAnsi="Arial" w:cs="Arial"/>
          <w:b/>
          <w:sz w:val="20"/>
          <w:szCs w:val="20"/>
        </w:rPr>
        <w:t>“BOGOTA MEJOR PARA TODOS”</w:t>
      </w:r>
      <w:r w:rsidRPr="00CC51E2">
        <w:rPr>
          <w:rFonts w:ascii="Arial" w:hAnsi="Arial" w:cs="Arial"/>
          <w:sz w:val="20"/>
          <w:szCs w:val="20"/>
        </w:rPr>
        <w:t>. En segunda medida a la administración de los procesos y proyectos de inversión a cargo de la Dirección; vale la pena</w:t>
      </w:r>
      <w:r w:rsidRPr="00CC51E2">
        <w:rPr>
          <w:rFonts w:ascii="Arial" w:hAnsi="Arial" w:cs="Arial"/>
          <w:color w:val="FF0000"/>
          <w:sz w:val="20"/>
          <w:szCs w:val="20"/>
        </w:rPr>
        <w:t xml:space="preserve"> </w:t>
      </w:r>
      <w:r w:rsidRPr="00CC51E2">
        <w:rPr>
          <w:rFonts w:ascii="Arial" w:hAnsi="Arial" w:cs="Arial"/>
          <w:sz w:val="20"/>
          <w:szCs w:val="20"/>
        </w:rPr>
        <w:t xml:space="preserve">mencionar que de un total de trece (13) procesos, esta Dirección administró para la vigencia inmediatamente anterior, cinco (5) de ellos, es decir el 38%. Los procesos administrados y los proyectos ejecutados fueron los siguientes: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Procesos: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de Servicio al Ciudadano – Proceso Misional.</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Administración y Control de Recursos – Proceso de apoyo, ejecutado por las áreas de Subdirección Financiera y Subdirección Administrativa.</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de Gestión Humana – Proceso de apoyo, ejecutado por Subdirección Administrativa.</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 xml:space="preserve">Proceso de Administración de la información - Proceso de apoyo, este proceso se administró hasta el día 10 de enero de 2017, fecha en la cual tomo posesión del cargo el Jefe de la Oficina Tecnológica de la Información y las Comunicaciones (Tics), a partir de este momento esta Dirección solo se ocupó de la ordenación del gasto para el proyecto de inversión 1174 designado para este proceso.  </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 xml:space="preserve">Proceso de Adquisición de Bienes y Servicios - Proceso de apoyo, este proceso se empezó a administrar </w:t>
      </w:r>
      <w:r w:rsidRPr="00CC51E2">
        <w:rPr>
          <w:rFonts w:ascii="Arial" w:hAnsi="Arial" w:cs="Arial"/>
          <w:color w:val="000000"/>
          <w:sz w:val="20"/>
          <w:szCs w:val="20"/>
        </w:rPr>
        <w:t>a partir del 01 de agosto de 2016, de conformidad con la Resolución No.  3278 de 2016 y el Acuerdo No. 04 de 2016</w:t>
      </w:r>
      <w:r w:rsidRPr="00CC51E2">
        <w:rPr>
          <w:rFonts w:ascii="Arial" w:hAnsi="Arial" w:cs="Arial"/>
          <w:sz w:val="20"/>
          <w:szCs w:val="20"/>
        </w:rPr>
        <w:t>.</w:t>
      </w:r>
    </w:p>
    <w:p w:rsidR="00B52A9F" w:rsidRPr="00CC51E2" w:rsidRDefault="00B52A9F"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lastRenderedPageBreak/>
        <w:t>Proyectos de inversión: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Plan de Desarrollo Bogotá Humana: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21"/>
        </w:numPr>
        <w:spacing w:after="0" w:line="240" w:lineRule="auto"/>
        <w:jc w:val="both"/>
        <w:rPr>
          <w:rFonts w:ascii="Arial" w:hAnsi="Arial" w:cs="Arial"/>
          <w:sz w:val="20"/>
          <w:szCs w:val="20"/>
        </w:rPr>
      </w:pPr>
      <w:r w:rsidRPr="00CC51E2">
        <w:rPr>
          <w:rFonts w:ascii="Arial" w:hAnsi="Arial" w:cs="Arial"/>
          <w:sz w:val="20"/>
          <w:szCs w:val="20"/>
        </w:rPr>
        <w:t>Proyecto 404: “Fortalecimiento institucional para aumentar la eficiencia de la gestión”.</w:t>
      </w:r>
    </w:p>
    <w:p w:rsidR="00B52A9F" w:rsidRPr="00CC51E2" w:rsidRDefault="00B52A9F" w:rsidP="0057468E">
      <w:pPr>
        <w:pStyle w:val="Prrafodelista"/>
        <w:numPr>
          <w:ilvl w:val="0"/>
          <w:numId w:val="21"/>
        </w:numPr>
        <w:spacing w:after="0" w:line="240" w:lineRule="auto"/>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Plan de Desarrollo Bogotá Mejor para Todos: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404 “Fortalecimiento institucional para aumentar la eficiencia en la Gestión”.</w:t>
      </w:r>
    </w:p>
    <w:p w:rsidR="00B52A9F" w:rsidRPr="00CC51E2" w:rsidRDefault="00B52A9F" w:rsidP="0057468E">
      <w:pPr>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B52A9F" w:rsidRPr="00CC51E2" w:rsidRDefault="00B52A9F" w:rsidP="0057468E">
      <w:pPr>
        <w:pStyle w:val="Prrafodelista"/>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1174 “Fortalecimiento de las Tecnologías de información y Comunicación”.</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B52A9F">
      <w:pPr>
        <w:spacing w:after="0"/>
        <w:jc w:val="both"/>
        <w:rPr>
          <w:rFonts w:ascii="Arial" w:hAnsi="Arial" w:cs="Arial"/>
          <w:sz w:val="20"/>
          <w:szCs w:val="20"/>
        </w:rPr>
      </w:pPr>
      <w:r w:rsidRPr="00CC51E2">
        <w:rPr>
          <w:rFonts w:ascii="Arial" w:hAnsi="Arial" w:cs="Arial"/>
          <w:sz w:val="20"/>
          <w:szCs w:val="20"/>
        </w:rPr>
        <w:t xml:space="preserve">Los resultados que se expondrán, se estructuran a partir del análisis de aquellas actividades que generaron mayor impacto, pues contribuyeron al fortalecimiento institucional y a la consigna de alcanzar la mejora continua y constante de todos los procesos de la entidad. La planeación y el constante monitoreo como práctica habitual coadyuvaron al cumplimiento de las metas en cada una de las actividades que se expondrán en los siguientes apartes: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2"/>
        <w:widowControl/>
        <w:numPr>
          <w:ilvl w:val="1"/>
          <w:numId w:val="19"/>
        </w:numPr>
        <w:suppressAutoHyphens w:val="0"/>
        <w:overflowPunct w:val="0"/>
        <w:autoSpaceDE w:val="0"/>
        <w:autoSpaceDN w:val="0"/>
        <w:adjustRightInd w:val="0"/>
        <w:spacing w:line="360" w:lineRule="auto"/>
        <w:ind w:left="709" w:hanging="652"/>
        <w:textAlignment w:val="baseline"/>
        <w:rPr>
          <w:rFonts w:ascii="Arial" w:hAnsi="Arial" w:cs="Arial"/>
          <w:sz w:val="20"/>
          <w:szCs w:val="20"/>
        </w:rPr>
      </w:pPr>
      <w:bookmarkStart w:id="6" w:name="_Toc499145413"/>
      <w:r w:rsidRPr="00CC51E2">
        <w:rPr>
          <w:rFonts w:ascii="Arial" w:hAnsi="Arial" w:cs="Arial"/>
          <w:sz w:val="20"/>
          <w:szCs w:val="20"/>
        </w:rPr>
        <w:t>PRINCIPALES LOGROS ALCANZADOS PARA LOS PROCESOS ADMINISTRADOS POR LA DIRECCIÓN</w:t>
      </w:r>
      <w:bookmarkEnd w:id="6"/>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textAlignment w:val="baseline"/>
        <w:rPr>
          <w:rFonts w:ascii="Arial" w:hAnsi="Arial" w:cs="Arial"/>
          <w:sz w:val="20"/>
          <w:szCs w:val="20"/>
        </w:rPr>
      </w:pPr>
      <w:bookmarkStart w:id="7" w:name="_Toc499145414"/>
      <w:r w:rsidRPr="00CC51E2">
        <w:rPr>
          <w:rFonts w:ascii="Arial" w:hAnsi="Arial" w:cs="Arial"/>
          <w:sz w:val="20"/>
          <w:szCs w:val="20"/>
        </w:rPr>
        <w:t>PROCESO DE SERVICIO AL CIUDADANO</w:t>
      </w:r>
      <w:bookmarkEnd w:id="7"/>
    </w:p>
    <w:p w:rsidR="00B52A9F" w:rsidRPr="00CC51E2" w:rsidRDefault="00B52A9F" w:rsidP="00B52A9F">
      <w:pPr>
        <w:spacing w:after="0" w:line="240" w:lineRule="auto"/>
        <w:rPr>
          <w:rFonts w:ascii="Arial" w:hAnsi="Arial" w:cs="Arial"/>
          <w:b/>
          <w:color w:val="1F497D" w:themeColor="text2"/>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Con el propósito de fortalecer el proceso de Servicio al Ciudadano y aplicar los principios de transparencia y acceso a la información, garantizando el derecho de acceso a la información pública, la Dirección de Gestión Corporativa y CID con el apoyo de los profesionales y técnicos a cargo del proceso, desarrolló las siguientes actividades que vale la pena destacar:</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rPr>
          <w:rFonts w:ascii="Arial" w:hAnsi="Arial" w:cs="Arial"/>
          <w:b/>
          <w:sz w:val="20"/>
          <w:szCs w:val="20"/>
          <w:lang w:val="es-ES"/>
        </w:rPr>
      </w:pPr>
      <w:r w:rsidRPr="00CC51E2">
        <w:rPr>
          <w:rFonts w:ascii="Arial" w:hAnsi="Arial" w:cs="Arial"/>
          <w:b/>
          <w:sz w:val="20"/>
          <w:szCs w:val="20"/>
          <w:lang w:val="es-ES"/>
        </w:rPr>
        <w:t>Vigencia 2016</w:t>
      </w:r>
    </w:p>
    <w:p w:rsidR="00B52A9F" w:rsidRPr="00CC51E2" w:rsidRDefault="00B52A9F" w:rsidP="0057468E">
      <w:pPr>
        <w:pStyle w:val="Prrafodelista"/>
        <w:numPr>
          <w:ilvl w:val="0"/>
          <w:numId w:val="23"/>
        </w:numPr>
        <w:spacing w:before="240" w:line="240" w:lineRule="auto"/>
        <w:jc w:val="both"/>
        <w:rPr>
          <w:rFonts w:ascii="Arial" w:hAnsi="Arial" w:cs="Arial"/>
          <w:sz w:val="20"/>
          <w:szCs w:val="20"/>
          <w:lang w:val="es-ES"/>
        </w:rPr>
      </w:pPr>
      <w:r w:rsidRPr="00CC51E2">
        <w:rPr>
          <w:rFonts w:ascii="Arial" w:hAnsi="Arial" w:cs="Arial"/>
          <w:sz w:val="20"/>
          <w:szCs w:val="20"/>
          <w:lang w:val="es-ES"/>
        </w:rPr>
        <w:t>Fueron generadas y entregadas mil (1.000) piezas comunicativas, con el fin que el ciudadano conociera la ruta para acceder al Sistema Distrital de Peticiones, Quejas, Reclamos y Sugerencias – PQRS-, y capacitando a éstos sobre cómo registrar las mismas.</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before="240" w:line="240" w:lineRule="auto"/>
        <w:jc w:val="both"/>
        <w:rPr>
          <w:rFonts w:ascii="Arial" w:hAnsi="Arial" w:cs="Arial"/>
          <w:color w:val="000000"/>
          <w:sz w:val="20"/>
          <w:szCs w:val="20"/>
        </w:rPr>
      </w:pPr>
      <w:r w:rsidRPr="00CC51E2">
        <w:rPr>
          <w:rFonts w:ascii="Arial" w:hAnsi="Arial" w:cs="Arial"/>
          <w:color w:val="000000"/>
          <w:sz w:val="20"/>
          <w:szCs w:val="20"/>
        </w:rPr>
        <w:t>Se promovieron las acciones necesarias para dar cumplimiento a la publicación en el portal web de la entidad, la información institucional, acatándose lo establecido en la Ley 1712 de 2014 de transparencia, respecto a los derechos del ciudadano de conocer la Información Pública Nacional.</w:t>
      </w:r>
      <w:r w:rsidRPr="00CC51E2">
        <w:rPr>
          <w:rFonts w:ascii="Arial" w:hAnsi="Arial" w:cs="Arial"/>
          <w:sz w:val="20"/>
          <w:szCs w:val="20"/>
        </w:rPr>
        <w:t xml:space="preserve"> </w:t>
      </w:r>
    </w:p>
    <w:p w:rsidR="00B52A9F" w:rsidRPr="00CC51E2" w:rsidRDefault="00B52A9F" w:rsidP="00B52A9F">
      <w:pPr>
        <w:pStyle w:val="Prrafodelista"/>
        <w:spacing w:before="240" w:line="240" w:lineRule="auto"/>
        <w:jc w:val="both"/>
        <w:rPr>
          <w:rFonts w:ascii="Arial" w:hAnsi="Arial" w:cs="Arial"/>
          <w:color w:val="000000"/>
          <w:sz w:val="20"/>
          <w:szCs w:val="20"/>
        </w:rPr>
      </w:pPr>
    </w:p>
    <w:p w:rsidR="00B52A9F" w:rsidRPr="00CC51E2" w:rsidRDefault="00B52A9F" w:rsidP="0057468E">
      <w:pPr>
        <w:pStyle w:val="Prrafodelista"/>
        <w:numPr>
          <w:ilvl w:val="0"/>
          <w:numId w:val="23"/>
        </w:numPr>
        <w:spacing w:line="240" w:lineRule="auto"/>
        <w:jc w:val="both"/>
        <w:rPr>
          <w:rFonts w:ascii="Arial" w:hAnsi="Arial" w:cs="Arial"/>
          <w:sz w:val="20"/>
          <w:szCs w:val="20"/>
        </w:rPr>
      </w:pPr>
      <w:r w:rsidRPr="00CC51E2">
        <w:rPr>
          <w:rFonts w:ascii="Arial" w:hAnsi="Arial" w:cs="Arial"/>
          <w:sz w:val="20"/>
          <w:szCs w:val="20"/>
        </w:rPr>
        <w:t xml:space="preserve">Se diseñó y gestionó la implementación de un </w:t>
      </w:r>
      <w:r w:rsidRPr="00CC51E2">
        <w:rPr>
          <w:rFonts w:ascii="Arial" w:hAnsi="Arial" w:cs="Arial"/>
          <w:i/>
          <w:sz w:val="20"/>
          <w:szCs w:val="20"/>
        </w:rPr>
        <w:t>banner</w:t>
      </w:r>
      <w:r w:rsidRPr="00CC51E2">
        <w:rPr>
          <w:rFonts w:ascii="Arial" w:hAnsi="Arial" w:cs="Arial"/>
          <w:sz w:val="20"/>
          <w:szCs w:val="20"/>
        </w:rPr>
        <w:t xml:space="preserve"> de fácil acceso, en el inicio del portal Web, para la radicación de PQRS, incluyéndose los criterios que los ciudadanos deben tener en cuenta para clasificarlas y radicarlas, cumpliendo de esta manera con el deber de garantizar la accesibilidad al canal virtual de nuestros usuarios y/o beneficiarios.</w:t>
      </w:r>
    </w:p>
    <w:p w:rsidR="00B52A9F" w:rsidRPr="00CC51E2" w:rsidRDefault="00B52A9F" w:rsidP="00B52A9F">
      <w:pPr>
        <w:pStyle w:val="Prrafodelista"/>
        <w:spacing w:line="240" w:lineRule="auto"/>
        <w:rPr>
          <w:rFonts w:ascii="Arial" w:hAnsi="Arial" w:cs="Arial"/>
          <w:sz w:val="20"/>
          <w:szCs w:val="20"/>
        </w:rPr>
      </w:pPr>
    </w:p>
    <w:p w:rsidR="00B52A9F" w:rsidRPr="00CC51E2" w:rsidRDefault="00B52A9F" w:rsidP="0057468E">
      <w:pPr>
        <w:pStyle w:val="Prrafodelista"/>
        <w:numPr>
          <w:ilvl w:val="0"/>
          <w:numId w:val="23"/>
        </w:numPr>
        <w:spacing w:line="240" w:lineRule="auto"/>
        <w:jc w:val="both"/>
        <w:rPr>
          <w:rFonts w:ascii="Arial" w:hAnsi="Arial" w:cs="Arial"/>
          <w:sz w:val="20"/>
          <w:szCs w:val="20"/>
        </w:rPr>
      </w:pPr>
      <w:r w:rsidRPr="00CC51E2">
        <w:rPr>
          <w:rFonts w:ascii="Arial" w:hAnsi="Arial" w:cs="Arial"/>
          <w:sz w:val="20"/>
          <w:szCs w:val="20"/>
        </w:rPr>
        <w:lastRenderedPageBreak/>
        <w:t>Se diseñó e instaló en el punto de Servicio al Ciudadano, la señalización para personas en condición de discapacidad, adultos mayores y mujeres en estado de gestación.</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jc w:val="both"/>
        <w:rPr>
          <w:rFonts w:ascii="Arial" w:hAnsi="Arial" w:cs="Arial"/>
          <w:sz w:val="20"/>
          <w:szCs w:val="20"/>
          <w:lang w:val="es-ES"/>
        </w:rPr>
      </w:pPr>
      <w:r w:rsidRPr="00CC51E2">
        <w:rPr>
          <w:rFonts w:ascii="Arial" w:hAnsi="Arial" w:cs="Arial"/>
          <w:sz w:val="20"/>
          <w:szCs w:val="20"/>
          <w:lang w:val="es-ES"/>
        </w:rPr>
        <w:t>En desarrollo de las actividades de divulgación del Estatuto Anticorrupción, se distribuyó a los usuarios, una pieza comunicacional sobre la gratuidad de los trámites adelantados en la Caja de la Vivienda Popular y la recomendación de evitar la intervención de intermediarios para la realización de éstos. De la misma manera, se socializó sobre la atención prioritaria que se brinda a los ciudadanos en situaciones particulares como: adultos mayores, personas en condición de discapacidad, mujeres embarazadas, mujeres lactantes, personas consumidoras de sustancias psicotrópicas y personas de talla baja.</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jc w:val="both"/>
        <w:rPr>
          <w:rFonts w:ascii="Arial" w:hAnsi="Arial" w:cs="Arial"/>
          <w:sz w:val="20"/>
          <w:szCs w:val="20"/>
          <w:lang w:val="es-ES"/>
        </w:rPr>
      </w:pPr>
      <w:r w:rsidRPr="00CC51E2">
        <w:rPr>
          <w:rFonts w:ascii="Arial" w:hAnsi="Arial" w:cs="Arial"/>
          <w:sz w:val="20"/>
          <w:szCs w:val="20"/>
          <w:lang w:val="es-ES"/>
        </w:rPr>
        <w:t>A partir de Julio de 2016, se puso en marcha la digitalización de la totalidad de los documentos que se encuentran en trámite, para el debido control de la correspondencia, se asignó un nombre al documento y una ubicación específica, lo cual permite conservar la trazabilidad del mismo.</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rPr>
          <w:rFonts w:ascii="Arial" w:hAnsi="Arial" w:cs="Arial"/>
          <w:sz w:val="20"/>
          <w:szCs w:val="20"/>
          <w:lang w:val="es-ES"/>
        </w:rPr>
      </w:pPr>
      <w:r w:rsidRPr="00CC51E2">
        <w:rPr>
          <w:rFonts w:ascii="Arial" w:hAnsi="Arial" w:cs="Arial"/>
          <w:sz w:val="20"/>
          <w:szCs w:val="20"/>
          <w:lang w:val="es-ES"/>
        </w:rPr>
        <w:t>El plan de acción, con corte a 31 de diciembre de 2016, presentó un porcentaje de cumplimiento del 100%.</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b/>
          <w:sz w:val="20"/>
          <w:szCs w:val="20"/>
          <w:lang w:val="es-ES"/>
        </w:rPr>
      </w:pPr>
      <w:r w:rsidRPr="00CC51E2">
        <w:rPr>
          <w:rFonts w:ascii="Arial" w:hAnsi="Arial" w:cs="Arial"/>
          <w:b/>
          <w:sz w:val="20"/>
          <w:szCs w:val="20"/>
          <w:lang w:val="es-ES"/>
        </w:rPr>
        <w:t>Vigencia 2017</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sz w:val="20"/>
          <w:szCs w:val="20"/>
          <w:lang w:val="es-ES"/>
        </w:rPr>
      </w:pPr>
    </w:p>
    <w:p w:rsidR="00B52A9F" w:rsidRPr="00CC51E2" w:rsidRDefault="00B52A9F" w:rsidP="0057468E">
      <w:pPr>
        <w:pStyle w:val="Prrafodelista"/>
        <w:numPr>
          <w:ilvl w:val="0"/>
          <w:numId w:val="26"/>
        </w:numPr>
        <w:spacing w:line="240" w:lineRule="auto"/>
        <w:jc w:val="both"/>
        <w:rPr>
          <w:rFonts w:ascii="Arial" w:hAnsi="Arial" w:cs="Arial"/>
          <w:sz w:val="20"/>
          <w:szCs w:val="20"/>
          <w:lang w:val="es-ES"/>
        </w:rPr>
      </w:pPr>
      <w:r w:rsidRPr="00CC51E2">
        <w:rPr>
          <w:rFonts w:ascii="Arial" w:hAnsi="Arial" w:cs="Arial"/>
          <w:sz w:val="20"/>
          <w:szCs w:val="20"/>
          <w:lang w:val="es-ES"/>
        </w:rPr>
        <w:t xml:space="preserve">Se adelantaron capacitaciones a los profesionales responsables del proceso, respecto a la atención de la comunidad con discapacidad auditiva, lo anterior, con el ánimo de contar con un servicio y una atención incluyente, implementando mecanismos de atención preferencial a personas con algún tipo de discapacidad. </w:t>
      </w:r>
    </w:p>
    <w:p w:rsidR="00B52A9F" w:rsidRPr="00CC51E2" w:rsidRDefault="00B52A9F" w:rsidP="00B52A9F">
      <w:pPr>
        <w:pStyle w:val="Prrafodelista"/>
        <w:spacing w:line="240" w:lineRule="auto"/>
        <w:jc w:val="both"/>
        <w:rPr>
          <w:rFonts w:ascii="Arial" w:hAnsi="Arial" w:cs="Arial"/>
          <w:sz w:val="20"/>
          <w:szCs w:val="20"/>
          <w:lang w:val="es-ES"/>
        </w:rPr>
      </w:pPr>
    </w:p>
    <w:p w:rsidR="00B52A9F" w:rsidRPr="00CC51E2" w:rsidRDefault="00B52A9F" w:rsidP="0057468E">
      <w:pPr>
        <w:pStyle w:val="Prrafodelista"/>
        <w:numPr>
          <w:ilvl w:val="0"/>
          <w:numId w:val="26"/>
        </w:numPr>
        <w:spacing w:line="240" w:lineRule="auto"/>
        <w:jc w:val="both"/>
        <w:rPr>
          <w:rFonts w:ascii="Arial" w:hAnsi="Arial" w:cs="Arial"/>
          <w:color w:val="000000"/>
          <w:sz w:val="20"/>
          <w:szCs w:val="20"/>
        </w:rPr>
      </w:pPr>
      <w:r w:rsidRPr="00CC51E2">
        <w:rPr>
          <w:rFonts w:ascii="Arial" w:hAnsi="Arial" w:cs="Arial"/>
          <w:sz w:val="20"/>
          <w:szCs w:val="20"/>
          <w:lang w:val="es-ES"/>
        </w:rPr>
        <w:t>Con el apoyo de la Oficina Asesora de Comunicaciones,</w:t>
      </w:r>
      <w:r w:rsidRPr="00CC51E2">
        <w:rPr>
          <w:rFonts w:ascii="Arial" w:hAnsi="Arial" w:cs="Arial"/>
          <w:sz w:val="20"/>
          <w:szCs w:val="20"/>
        </w:rPr>
        <w:t xml:space="preserve"> </w:t>
      </w:r>
      <w:r w:rsidRPr="00CC51E2">
        <w:rPr>
          <w:rFonts w:ascii="Arial" w:hAnsi="Arial" w:cs="Arial"/>
          <w:sz w:val="20"/>
          <w:szCs w:val="20"/>
          <w:lang w:val="es-ES"/>
        </w:rPr>
        <w:t>se elaboraron diversas piezas audiovisuales, consistentes en videos que permiten socializar a los usuarios que visitan la entidad, los servicios que presta cada una de las Direcciones Misionales en cumplimiento del objeto de la Caja de la Vivienda Popular.</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0"/>
          <w:numId w:val="24"/>
        </w:numPr>
        <w:spacing w:line="240" w:lineRule="auto"/>
        <w:jc w:val="both"/>
        <w:rPr>
          <w:rFonts w:ascii="Arial" w:hAnsi="Arial" w:cs="Arial"/>
          <w:color w:val="000000"/>
          <w:sz w:val="20"/>
          <w:szCs w:val="20"/>
        </w:rPr>
      </w:pPr>
      <w:r w:rsidRPr="00CC51E2">
        <w:rPr>
          <w:rFonts w:ascii="Arial" w:hAnsi="Arial" w:cs="Arial"/>
          <w:color w:val="000000"/>
          <w:sz w:val="20"/>
          <w:szCs w:val="20"/>
        </w:rPr>
        <w:t xml:space="preserve">Se promovieron, implementaron y realizaron acciones de mejora continua, entre estas se destacan las mesas de seguimiento semanales a las PQRS, efectuando un control y seguimiento para dar cumplimiento a la entrega oportuna de las respuestas en términos de calidad y oportunidad, obteniendo como resultado de este control la disminución notoria de los  incumplimientos en los términos establecidos por normativa, tal y como se puede corroborar en los controles e informes realizados por la Oficina Asesora de Control Interno. </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4"/>
        </w:numPr>
        <w:spacing w:line="240" w:lineRule="auto"/>
        <w:jc w:val="both"/>
        <w:rPr>
          <w:rFonts w:ascii="Arial" w:hAnsi="Arial" w:cs="Arial"/>
          <w:color w:val="000000"/>
          <w:sz w:val="20"/>
          <w:szCs w:val="20"/>
        </w:rPr>
      </w:pPr>
      <w:r w:rsidRPr="00CC51E2">
        <w:rPr>
          <w:rFonts w:ascii="Arial" w:hAnsi="Arial" w:cs="Arial"/>
          <w:sz w:val="20"/>
          <w:szCs w:val="20"/>
          <w:lang w:val="es-ES"/>
        </w:rPr>
        <w:t xml:space="preserve">A partir de febrero de 2017, se empezaron a realizar capacitaciones a los profesionales a cargo del proceso, a fin de implementar la recepción de las PQRS a través del canal presencial en los módulos de Servicio al Ciudadano, optimizando el procedimiento de las mismas y contribuyendo con la política de cero papel. </w:t>
      </w:r>
      <w:bookmarkStart w:id="8" w:name="_Toc488418581"/>
    </w:p>
    <w:p w:rsidR="00B52A9F" w:rsidRPr="00CC51E2" w:rsidRDefault="00B52A9F" w:rsidP="00B52A9F">
      <w:pPr>
        <w:pStyle w:val="Prrafodelista"/>
        <w:spacing w:line="240" w:lineRule="auto"/>
        <w:jc w:val="both"/>
        <w:rPr>
          <w:rFonts w:ascii="Arial" w:hAnsi="Arial" w:cs="Arial"/>
          <w:sz w:val="20"/>
          <w:szCs w:val="20"/>
          <w:lang w:val="es-ES"/>
        </w:rPr>
      </w:pPr>
    </w:p>
    <w:p w:rsidR="00B52A9F" w:rsidRPr="00CC51E2" w:rsidRDefault="00B52A9F" w:rsidP="0057468E">
      <w:pPr>
        <w:pStyle w:val="Prrafodelista"/>
        <w:numPr>
          <w:ilvl w:val="0"/>
          <w:numId w:val="25"/>
        </w:numPr>
        <w:spacing w:after="0" w:line="240" w:lineRule="auto"/>
        <w:jc w:val="both"/>
        <w:rPr>
          <w:rFonts w:ascii="Arial" w:hAnsi="Arial" w:cs="Arial"/>
          <w:sz w:val="20"/>
          <w:szCs w:val="20"/>
          <w:lang w:val="es-ES"/>
        </w:rPr>
      </w:pPr>
      <w:r w:rsidRPr="00CC51E2">
        <w:rPr>
          <w:rFonts w:ascii="Arial" w:hAnsi="Arial" w:cs="Arial"/>
          <w:sz w:val="20"/>
          <w:szCs w:val="20"/>
          <w:lang w:val="es-ES"/>
        </w:rPr>
        <w:t>Con el ánimo de continuar con la articulación institucional de los procesos, se preparó una matriz en Excel con los datos de los beneficiarios de los productos de la entidad. La matriz incluye la siguiente información: Nombre, identificación, sexo, información de contacto y datos de caracterización poblacional. Esta información es incluida posteriormente en el Sistema de Información Misional y Administrativo (SIMA), en el módulo respectivo para llevar el registro de cada visita.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25"/>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dividió el procedimiento de servicio al ciudadano, el cual se encontraba integrado con el procedimiento de trámite de PQRS. El procedimiento gestión de servicio al ciudadano está </w:t>
      </w:r>
      <w:r w:rsidRPr="00CC51E2">
        <w:rPr>
          <w:rFonts w:ascii="Arial" w:hAnsi="Arial" w:cs="Arial"/>
          <w:sz w:val="20"/>
          <w:szCs w:val="20"/>
          <w:lang w:val="es-ES"/>
        </w:rPr>
        <w:lastRenderedPageBreak/>
        <w:t>aprobado a la fecha y el procedimiento de tramité para las PQRS se encuentra en borrador para aprobación.</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23"/>
        </w:numPr>
        <w:spacing w:line="240" w:lineRule="auto"/>
        <w:rPr>
          <w:rFonts w:ascii="Arial" w:hAnsi="Arial" w:cs="Arial"/>
          <w:sz w:val="20"/>
          <w:szCs w:val="20"/>
          <w:lang w:val="es-ES"/>
        </w:rPr>
      </w:pPr>
      <w:r w:rsidRPr="00CC51E2">
        <w:rPr>
          <w:rFonts w:ascii="Arial" w:hAnsi="Arial" w:cs="Arial"/>
          <w:sz w:val="20"/>
          <w:szCs w:val="20"/>
          <w:lang w:val="es-ES"/>
        </w:rPr>
        <w:t>El plan de acción, con corte a 31 de octubre, presento un porcentaje de cumplimiento del 77%.</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9" w:name="_Toc499145415"/>
      <w:bookmarkEnd w:id="8"/>
      <w:r w:rsidRPr="00CC51E2">
        <w:rPr>
          <w:rFonts w:ascii="Arial" w:hAnsi="Arial" w:cs="Arial"/>
          <w:sz w:val="20"/>
          <w:szCs w:val="20"/>
        </w:rPr>
        <w:t>PROCESO ADMINISTRACIÓN Y CONTROL DE RECURSOS</w:t>
      </w:r>
      <w:bookmarkEnd w:id="9"/>
    </w:p>
    <w:p w:rsidR="00B52A9F" w:rsidRPr="00CC51E2" w:rsidRDefault="00B52A9F" w:rsidP="00B52A9F">
      <w:pPr>
        <w:spacing w:after="0" w:line="240" w:lineRule="auto"/>
        <w:rPr>
          <w:rFonts w:ascii="Arial" w:hAnsi="Arial" w:cs="Arial"/>
          <w:sz w:val="20"/>
          <w:szCs w:val="20"/>
          <w:lang w:val="es-ES_tradnl"/>
        </w:rPr>
      </w:pPr>
    </w:p>
    <w:p w:rsidR="00B52A9F" w:rsidRPr="00CC51E2" w:rsidRDefault="00B52A9F" w:rsidP="00B52A9F">
      <w:pPr>
        <w:spacing w:after="0" w:line="240" w:lineRule="auto"/>
        <w:rPr>
          <w:rFonts w:ascii="Arial" w:hAnsi="Arial" w:cs="Arial"/>
          <w:sz w:val="20"/>
          <w:szCs w:val="20"/>
          <w:lang w:val="es-ES"/>
        </w:rPr>
      </w:pPr>
      <w:r w:rsidRPr="00CC51E2">
        <w:rPr>
          <w:rFonts w:ascii="Arial" w:hAnsi="Arial" w:cs="Arial"/>
          <w:sz w:val="20"/>
          <w:szCs w:val="20"/>
          <w:lang w:val="es-ES"/>
        </w:rPr>
        <w:t>Con el apoyo de la Subdirección Financiera y la Subdirección Administrativa, se obtuvieron los siguientes logros importantes:</w:t>
      </w:r>
    </w:p>
    <w:p w:rsidR="00B52A9F" w:rsidRPr="00CC51E2" w:rsidRDefault="00B52A9F" w:rsidP="00B52A9F">
      <w:pPr>
        <w:spacing w:after="0" w:line="240" w:lineRule="auto"/>
        <w:rPr>
          <w:rFonts w:ascii="Arial" w:hAnsi="Arial" w:cs="Arial"/>
          <w:sz w:val="20"/>
          <w:szCs w:val="20"/>
          <w:lang w:val="es-ES"/>
        </w:rPr>
      </w:pPr>
    </w:p>
    <w:p w:rsidR="00B52A9F" w:rsidRPr="00CC51E2" w:rsidRDefault="00B52A9F" w:rsidP="00B52A9F">
      <w:pPr>
        <w:spacing w:line="240" w:lineRule="auto"/>
        <w:rPr>
          <w:rFonts w:ascii="Arial" w:hAnsi="Arial" w:cs="Arial"/>
          <w:sz w:val="20"/>
          <w:szCs w:val="20"/>
          <w:lang w:val="es-ES"/>
        </w:rPr>
      </w:pPr>
      <w:r w:rsidRPr="00CC51E2">
        <w:rPr>
          <w:rFonts w:ascii="Arial" w:hAnsi="Arial" w:cs="Arial"/>
          <w:sz w:val="20"/>
          <w:szCs w:val="20"/>
          <w:lang w:val="es-ES"/>
        </w:rPr>
        <w:t>Vigencia 2016</w:t>
      </w:r>
    </w:p>
    <w:p w:rsidR="00B52A9F" w:rsidRPr="00CC51E2" w:rsidRDefault="00B52A9F" w:rsidP="0057468E">
      <w:pPr>
        <w:pStyle w:val="NormalWeb"/>
        <w:numPr>
          <w:ilvl w:val="0"/>
          <w:numId w:val="28"/>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La Subdirección Financiera avanzó un 80% en la implementación de las NICSP, de conformidad con el plan de acción establecido para dicha anualidad. </w:t>
      </w:r>
    </w:p>
    <w:p w:rsidR="00B52A9F" w:rsidRPr="00CC51E2" w:rsidRDefault="00B52A9F" w:rsidP="00B52A9F">
      <w:pPr>
        <w:pStyle w:val="NormalWeb"/>
        <w:spacing w:before="0" w:after="0"/>
        <w:ind w:left="720" w:firstLine="60"/>
        <w:jc w:val="both"/>
        <w:rPr>
          <w:rFonts w:ascii="Arial" w:hAnsi="Arial" w:cs="Arial"/>
          <w:color w:val="000000"/>
          <w:sz w:val="20"/>
        </w:rPr>
      </w:pPr>
    </w:p>
    <w:p w:rsidR="00B52A9F" w:rsidRPr="00CC51E2" w:rsidRDefault="00B52A9F" w:rsidP="0057468E">
      <w:pPr>
        <w:pStyle w:val="NormalWeb"/>
        <w:numPr>
          <w:ilvl w:val="0"/>
          <w:numId w:val="28"/>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Se coordinó la tipificación de las obligaciones financieras existentes a favor de la Caja de la Vivienda Popular y se elaboraron los requerimientos para efectuar los cobros respectivos. </w:t>
      </w:r>
    </w:p>
    <w:p w:rsidR="00B52A9F" w:rsidRPr="00CC51E2" w:rsidRDefault="00B52A9F" w:rsidP="00B52A9F">
      <w:pPr>
        <w:pStyle w:val="Prrafodelista"/>
        <w:spacing w:line="240" w:lineRule="auto"/>
        <w:rPr>
          <w:rFonts w:ascii="Arial" w:hAnsi="Arial" w:cs="Arial"/>
          <w:color w:val="000000"/>
          <w:sz w:val="20"/>
          <w:szCs w:val="20"/>
        </w:rPr>
      </w:pPr>
    </w:p>
    <w:p w:rsidR="00B52A9F" w:rsidRPr="00CC51E2" w:rsidRDefault="00B52A9F" w:rsidP="0057468E">
      <w:pPr>
        <w:pStyle w:val="Prrafodelista"/>
        <w:numPr>
          <w:ilvl w:val="0"/>
          <w:numId w:val="28"/>
        </w:numPr>
        <w:spacing w:line="240" w:lineRule="auto"/>
        <w:jc w:val="both"/>
        <w:rPr>
          <w:rFonts w:ascii="Arial" w:hAnsi="Arial" w:cs="Arial"/>
          <w:color w:val="000000"/>
          <w:sz w:val="20"/>
          <w:szCs w:val="20"/>
        </w:rPr>
      </w:pPr>
      <w:r w:rsidRPr="00CC51E2">
        <w:rPr>
          <w:rFonts w:ascii="Arial" w:hAnsi="Arial" w:cs="Arial"/>
          <w:color w:val="000000"/>
          <w:sz w:val="20"/>
          <w:szCs w:val="20"/>
        </w:rPr>
        <w:t>Se consolidó el inventario de las obligaciones a favor de la Entidad, constituidas a través de créditos hipotecarios, mostrando los principales segmentos o grupos de interés y sus estadísticas, así como la clasificación por tipo de crédito y deudor, obteniendo un inventario final de 1985 obligaciones a favor de la Caja de la Vivienda Popular.</w:t>
      </w:r>
    </w:p>
    <w:p w:rsidR="00B52A9F" w:rsidRPr="00CC51E2" w:rsidRDefault="00B52A9F" w:rsidP="0057468E">
      <w:pPr>
        <w:numPr>
          <w:ilvl w:val="0"/>
          <w:numId w:val="28"/>
        </w:numPr>
        <w:spacing w:line="240" w:lineRule="auto"/>
        <w:jc w:val="both"/>
        <w:rPr>
          <w:rFonts w:ascii="Arial" w:hAnsi="Arial" w:cs="Arial"/>
          <w:sz w:val="20"/>
          <w:szCs w:val="20"/>
          <w:lang w:val="es-ES"/>
        </w:rPr>
      </w:pPr>
      <w:r w:rsidRPr="00CC51E2">
        <w:rPr>
          <w:rFonts w:ascii="Arial" w:hAnsi="Arial" w:cs="Arial"/>
          <w:bCs/>
          <w:sz w:val="20"/>
          <w:szCs w:val="20"/>
        </w:rPr>
        <w:t>Se depuraron las siguientes cuentas</w:t>
      </w:r>
      <w:r w:rsidRPr="00CC51E2">
        <w:rPr>
          <w:rFonts w:ascii="Arial" w:hAnsi="Arial" w:cs="Arial"/>
          <w:sz w:val="20"/>
          <w:szCs w:val="20"/>
        </w:rPr>
        <w:t xml:space="preserve">: </w:t>
      </w:r>
    </w:p>
    <w:p w:rsidR="00B52A9F" w:rsidRPr="00CC51E2" w:rsidRDefault="00B52A9F" w:rsidP="0057468E">
      <w:pPr>
        <w:numPr>
          <w:ilvl w:val="1"/>
          <w:numId w:val="27"/>
        </w:numPr>
        <w:spacing w:after="0" w:line="240" w:lineRule="auto"/>
        <w:jc w:val="both"/>
        <w:rPr>
          <w:rFonts w:ascii="Arial" w:hAnsi="Arial" w:cs="Arial"/>
          <w:sz w:val="20"/>
          <w:szCs w:val="20"/>
          <w:lang w:val="es-ES"/>
        </w:rPr>
      </w:pPr>
      <w:r w:rsidRPr="00CC51E2">
        <w:rPr>
          <w:rFonts w:ascii="Arial" w:hAnsi="Arial" w:cs="Arial"/>
          <w:sz w:val="20"/>
          <w:szCs w:val="20"/>
        </w:rPr>
        <w:t>Redes, líneas y cables.</w:t>
      </w:r>
    </w:p>
    <w:p w:rsidR="00B52A9F" w:rsidRPr="00CC51E2" w:rsidRDefault="00B52A9F" w:rsidP="0057468E">
      <w:pPr>
        <w:numPr>
          <w:ilvl w:val="1"/>
          <w:numId w:val="27"/>
        </w:numPr>
        <w:spacing w:after="0" w:line="240" w:lineRule="auto"/>
        <w:jc w:val="both"/>
        <w:rPr>
          <w:rFonts w:ascii="Arial" w:hAnsi="Arial" w:cs="Arial"/>
          <w:sz w:val="20"/>
          <w:szCs w:val="20"/>
          <w:lang w:val="es-ES"/>
        </w:rPr>
      </w:pPr>
      <w:r w:rsidRPr="00CC51E2">
        <w:rPr>
          <w:rFonts w:ascii="Arial" w:hAnsi="Arial" w:cs="Arial"/>
          <w:sz w:val="20"/>
          <w:szCs w:val="20"/>
        </w:rPr>
        <w:t>Propiedad, Planta y Equipo no explotados. Se depuraron los terrenos transferidos a nombre de la Caja de la Vivienda Popular, dentro del proceso de Reasentamiento Humano, los cuales no se pueden ceder, vender, construir o realizar cualquier tipo de actividad.</w:t>
      </w:r>
    </w:p>
    <w:p w:rsidR="00B52A9F" w:rsidRPr="00CC51E2" w:rsidRDefault="00B52A9F" w:rsidP="0057468E">
      <w:pPr>
        <w:numPr>
          <w:ilvl w:val="1"/>
          <w:numId w:val="27"/>
        </w:numPr>
        <w:spacing w:after="0" w:line="240" w:lineRule="auto"/>
        <w:jc w:val="both"/>
        <w:rPr>
          <w:rFonts w:ascii="Arial" w:hAnsi="Arial" w:cs="Arial"/>
          <w:sz w:val="20"/>
          <w:szCs w:val="20"/>
        </w:rPr>
      </w:pPr>
      <w:r w:rsidRPr="00CC51E2">
        <w:rPr>
          <w:rFonts w:ascii="Arial" w:hAnsi="Arial" w:cs="Arial"/>
          <w:sz w:val="20"/>
          <w:szCs w:val="20"/>
        </w:rPr>
        <w:t xml:space="preserve">Depuración en cuentas de orden como saldos de cartera, por vencimiento de términos, responsabilidad en procesos (Certificación expedida por la Contraloría), Familias reportadas por IDIGER para proceso de reasentamiento. </w:t>
      </w:r>
    </w:p>
    <w:p w:rsidR="00B52A9F" w:rsidRPr="00CC51E2" w:rsidRDefault="00B52A9F" w:rsidP="00B52A9F">
      <w:pPr>
        <w:spacing w:after="0" w:line="240" w:lineRule="auto"/>
        <w:ind w:left="720"/>
        <w:jc w:val="both"/>
        <w:rPr>
          <w:rFonts w:ascii="Arial" w:hAnsi="Arial" w:cs="Arial"/>
          <w:sz w:val="20"/>
          <w:szCs w:val="20"/>
        </w:rPr>
      </w:pP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En Coordinación con la Dirección Jurídica y la Dirección de Urbanizaciones y Titulación, se actualizó el reglamento interno de cartera, procedimiento de depuración y ficha de depuración.</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excluyeron 342 partidas de deudores, de los estados financieros que se registraban en las Cuentas de Orden, por una cuantía de $4.488 millones.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revisaron 1280 terceros en bases de datos nacionales, con el propósito de conocer mayor información de índole socio-económica sobre los usuarios.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calculó el deterioro de cartera basado en la identificación y valoración de riesgos.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elaboró un inventario de obligaciones constituidas a través de créditos hipotecarios y se digitalizaron 730 escrituras de las 1252 existentes.</w:t>
      </w:r>
    </w:p>
    <w:p w:rsidR="00B52A9F" w:rsidRPr="00CC51E2" w:rsidRDefault="00B52A9F" w:rsidP="0057468E">
      <w:pPr>
        <w:numPr>
          <w:ilvl w:val="0"/>
          <w:numId w:val="29"/>
        </w:numPr>
        <w:spacing w:after="0" w:line="240" w:lineRule="auto"/>
        <w:jc w:val="both"/>
        <w:rPr>
          <w:rFonts w:ascii="Arial" w:hAnsi="Arial" w:cs="Arial"/>
          <w:sz w:val="20"/>
          <w:szCs w:val="20"/>
          <w:lang w:val="es-ES"/>
        </w:rPr>
      </w:pPr>
      <w:r w:rsidRPr="00CC51E2">
        <w:rPr>
          <w:rFonts w:ascii="Arial" w:hAnsi="Arial" w:cs="Arial"/>
          <w:sz w:val="20"/>
          <w:szCs w:val="20"/>
        </w:rPr>
        <w:t xml:space="preserve">El estado de avance del Plan de Acción del Proceso para esta vigencia fue del 88%. </w:t>
      </w:r>
    </w:p>
    <w:p w:rsidR="00B52A9F" w:rsidRPr="00CC51E2" w:rsidRDefault="00B52A9F" w:rsidP="00B52A9F">
      <w:pPr>
        <w:spacing w:after="0" w:line="240" w:lineRule="auto"/>
        <w:rPr>
          <w:rFonts w:ascii="Arial" w:hAnsi="Arial" w:cs="Arial"/>
          <w:sz w:val="20"/>
          <w:szCs w:val="20"/>
          <w:highlight w:val="yellow"/>
          <w:lang w:val="es-ES"/>
        </w:rPr>
      </w:pPr>
    </w:p>
    <w:p w:rsidR="00B52A9F" w:rsidRPr="00CC51E2" w:rsidRDefault="00B52A9F" w:rsidP="00B52A9F">
      <w:pPr>
        <w:spacing w:after="0" w:line="240" w:lineRule="auto"/>
        <w:rPr>
          <w:rFonts w:ascii="Arial" w:hAnsi="Arial" w:cs="Arial"/>
          <w:sz w:val="20"/>
          <w:szCs w:val="20"/>
          <w:highlight w:val="yellow"/>
          <w:lang w:val="es-ES"/>
        </w:rPr>
      </w:pPr>
    </w:p>
    <w:p w:rsidR="00B52A9F" w:rsidRPr="00CC51E2" w:rsidRDefault="00B52A9F" w:rsidP="00B52A9F">
      <w:pPr>
        <w:spacing w:after="0" w:line="240" w:lineRule="auto"/>
        <w:rPr>
          <w:rFonts w:ascii="Arial" w:hAnsi="Arial" w:cs="Arial"/>
          <w:sz w:val="20"/>
          <w:szCs w:val="20"/>
          <w:lang w:val="es-ES"/>
        </w:rPr>
      </w:pPr>
      <w:r w:rsidRPr="00CC51E2">
        <w:rPr>
          <w:rFonts w:ascii="Arial" w:hAnsi="Arial" w:cs="Arial"/>
          <w:sz w:val="20"/>
          <w:szCs w:val="20"/>
          <w:lang w:val="es-ES"/>
        </w:rPr>
        <w:lastRenderedPageBreak/>
        <w:t>Vigencia 2017</w:t>
      </w:r>
    </w:p>
    <w:p w:rsidR="00B52A9F" w:rsidRPr="00CC51E2" w:rsidRDefault="00B52A9F" w:rsidP="00B52A9F">
      <w:pPr>
        <w:spacing w:after="0" w:line="240" w:lineRule="auto"/>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 gestión realizada permitió gestionar los requerimientos de apoyo logístico solicitados por cada una de las áreas y coordinar eficientemente las acciones necesarias para el debido funcionamiento de la Entidad. Los frentes coordinados para garantizar dicho funcionamiento fueron los siguientes:</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Aseo y Cafetería.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Suministro de Combustible.</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Fotocopiado.</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Mensajería Expresa y Motorizada.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Suministro de Papelería y Útiles de Oficina.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Transporte (Camionetas, buses, vanes)</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Seguridad y vigilancia.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 los servicios públicos y telefonía celular.</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ubicado en Ciudad Bolívar para el desarrollo de la misionalidad de la entidad.</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destinado al Archivo Central de la Caja de la Vivienda Popular.</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contiguo al Edificio de la Caja de la Vivienda Popular en Chapinero.</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Realizar el seguimiento y control de la correspondencia externa enviada de la Entidad que allegan todas las dependencias de la Caja de la Vivienda Popular, tanto misionales como administrativas.</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Se modificó el Reglamento Interno de Recaudo y Administración de Cartera, mediante la expedición del Acuerdo No. 05 del 02 de junio de 2017.</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De un total de 61 deudores de la entidad fallecidos, se obtuvo la depuración para 29 de ellos, cuyas obligaciones fueron canceladas, mostrando un avance en la gestión del 47,54%.</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El Plan de Acción “PREPARACIÓN PARA LA IMPLEMENTACIÓN DEL NUEVO MARCO NORMATIVO CONTABLE-2017” con corte a 30 de septiembre, se ha ejecutado en un 80%.</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 xml:space="preserve">Se han actualizado los procedimientos y formatos para las áreas técnicas de Presupuesto, Contabilidad, Cartera y Tesorería. </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Se realizó el seguimiento a la ejecución: presupuestal, reservas y pasivos exigibles para lo que va corrido de la presente vigencia, a través del envió de memorandos mensuales y correo electrónico a las direcciones misionales y de apoyo. De igual forma se realiza seguimiento y se presenta ante el Comité Directivo, estableciéndose las respectivas observaciones y alertas, con el fin de que evalúe el proceso de ejecución de la Entidad y se tomen decisiones al respecto.</w:t>
      </w:r>
    </w:p>
    <w:p w:rsidR="00B52A9F" w:rsidRPr="00CC51E2" w:rsidRDefault="00B52A9F" w:rsidP="00B52A9F">
      <w:pPr>
        <w:pStyle w:val="Prrafodelista"/>
        <w:spacing w:after="0" w:line="240" w:lineRule="auto"/>
        <w:ind w:left="717"/>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Respecto al fortalecimiento de la Administración de los Bienes Inmuebles de la Entidad, se destaca lo siguiente:</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El mejoramiento de las herramientas para el seguimiento y control del saneamiento de los mismos.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Se implementó el nuevo formato para la descripción de las características de los inmuebles, lo que permite la entrega de información técnica, en especial para la integralidad de la información de acuerdo a los lineamientos establecidos para la convergencia hacia el nuevo marco de regulación contable expedido por la Contaduría General de la Nación.</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 xml:space="preserve">Se implementó el formato denominado: </w:t>
      </w:r>
      <w:r w:rsidRPr="00CC51E2">
        <w:rPr>
          <w:rFonts w:ascii="Arial" w:hAnsi="Arial" w:cs="Arial"/>
          <w:i/>
          <w:sz w:val="20"/>
          <w:szCs w:val="20"/>
        </w:rPr>
        <w:t>“Plan de Trabajo para el Saneamiento de los Predios de propiedad de la Caja de la Vivienda Popular</w:t>
      </w:r>
      <w:r w:rsidRPr="00CC51E2">
        <w:rPr>
          <w:rFonts w:ascii="Arial" w:hAnsi="Arial" w:cs="Arial"/>
          <w:sz w:val="20"/>
          <w:szCs w:val="20"/>
        </w:rPr>
        <w:t xml:space="preserve">”, con el fin de plasmar las actividades que se van a desarrollar para el saneamiento de los bienes inmuebles de la entidad.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lastRenderedPageBreak/>
        <w:t>La Dirección de Gestión Corporativa y CID, lideró la creación del Comité Técnico de inventarios de bienes muebles e inmuebles de la entidad, producto de este trabajo se profirió la Resolución No. 2904 de 2017 y se empezaron a adelantar mesas de trabajo para el saneamiento de los bienes inmuebles de forma prioritaria.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El avance del plan de acción a octubre 31 es del 72%.</w:t>
      </w:r>
    </w:p>
    <w:p w:rsidR="00B52A9F" w:rsidRPr="00CC51E2" w:rsidRDefault="00B52A9F" w:rsidP="00B52A9F">
      <w:pPr>
        <w:pStyle w:val="Prrafodelista"/>
        <w:spacing w:after="0" w:line="240" w:lineRule="auto"/>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0" w:name="_Toc499145416"/>
      <w:r w:rsidRPr="00CC51E2">
        <w:rPr>
          <w:rFonts w:ascii="Arial" w:hAnsi="Arial" w:cs="Arial"/>
          <w:sz w:val="20"/>
          <w:szCs w:val="20"/>
        </w:rPr>
        <w:t>PROCESO GESTIÓN DEL TALENTO HUMANO</w:t>
      </w:r>
      <w:bookmarkEnd w:id="10"/>
    </w:p>
    <w:p w:rsidR="00B52A9F" w:rsidRPr="00CC51E2" w:rsidRDefault="00B52A9F" w:rsidP="00B52A9F">
      <w:pPr>
        <w:spacing w:after="0" w:line="240" w:lineRule="auto"/>
        <w:ind w:left="-363"/>
        <w:jc w:val="both"/>
        <w:rPr>
          <w:rFonts w:ascii="Arial" w:hAnsi="Arial" w:cs="Arial"/>
          <w:sz w:val="20"/>
          <w:szCs w:val="20"/>
        </w:rPr>
      </w:pPr>
      <w:r w:rsidRPr="00CC51E2">
        <w:rPr>
          <w:rFonts w:ascii="Arial" w:hAnsi="Arial" w:cs="Arial"/>
          <w:sz w:val="20"/>
          <w:szCs w:val="20"/>
        </w:rPr>
        <w:t>Con el ánimo de mejorar las condiciones laborales de los funcionaros y contratistas, para que su satisfacción se revierta en la gestión de la entidad, se realizaron las siguientes acciones:</w:t>
      </w:r>
    </w:p>
    <w:p w:rsidR="00B52A9F" w:rsidRPr="00CC51E2" w:rsidRDefault="00B52A9F" w:rsidP="00B52A9F">
      <w:pPr>
        <w:spacing w:after="0" w:line="312" w:lineRule="auto"/>
        <w:jc w:val="both"/>
        <w:rPr>
          <w:rFonts w:ascii="Arial" w:hAnsi="Arial" w:cs="Arial"/>
          <w:b/>
          <w:sz w:val="20"/>
          <w:szCs w:val="20"/>
        </w:rPr>
      </w:pPr>
    </w:p>
    <w:p w:rsidR="00B52A9F" w:rsidRPr="00CC51E2" w:rsidRDefault="00B52A9F" w:rsidP="00B52A9F">
      <w:pPr>
        <w:spacing w:after="0" w:line="312" w:lineRule="auto"/>
        <w:jc w:val="both"/>
        <w:rPr>
          <w:rFonts w:ascii="Arial" w:hAnsi="Arial" w:cs="Arial"/>
          <w:sz w:val="20"/>
          <w:szCs w:val="20"/>
        </w:rPr>
      </w:pPr>
      <w:r w:rsidRPr="00CC51E2">
        <w:rPr>
          <w:rFonts w:ascii="Arial" w:hAnsi="Arial" w:cs="Arial"/>
          <w:sz w:val="20"/>
          <w:szCs w:val="20"/>
        </w:rPr>
        <w:t>Vigencia de 2016</w:t>
      </w:r>
    </w:p>
    <w:p w:rsidR="00B52A9F" w:rsidRPr="00CC51E2" w:rsidRDefault="00B52A9F" w:rsidP="00B52A9F">
      <w:pPr>
        <w:spacing w:after="0" w:line="312" w:lineRule="auto"/>
        <w:jc w:val="both"/>
        <w:rPr>
          <w:rFonts w:ascii="Arial" w:hAnsi="Arial" w:cs="Arial"/>
          <w:b/>
          <w:sz w:val="20"/>
          <w:szCs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color w:val="000000"/>
          <w:sz w:val="20"/>
        </w:rPr>
        <w:t>Se desarrolló el programa anual de capacitación institucional establecido para la vigencia, y se coordinó con otras entidades gubernamentales, para llevar a cabo otras capacitaciones importantes para el fortalecimiento profesional de los funcionarios.</w:t>
      </w:r>
    </w:p>
    <w:p w:rsidR="00B52A9F" w:rsidRPr="00CC51E2" w:rsidRDefault="00B52A9F" w:rsidP="00B52A9F">
      <w:pPr>
        <w:pStyle w:val="NormalWeb"/>
        <w:spacing w:before="0" w:after="0"/>
        <w:jc w:val="both"/>
        <w:rPr>
          <w:rFonts w:ascii="Arial" w:hAnsi="Arial" w:cs="Arial"/>
          <w:color w:val="000000"/>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avanzó en el diseño e implementación de la política para el desarrollo del talento humano en un 75%, se preparó y elaboró el documento, identificándose los procedimientos claves del proceso. Con la creación de la política, se buscó establecer los lineamientos para la gestión del talento humano al servicio de la entidad.</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La Dirección de Gestión Corporativa y CID verificó y requirió a la Subdirección Administrativa, como área encargada de liderar el proceso de talento humano de la Entidad, la realización del proceso de selección de personal de la planta temporal, mediante el cual se vincularon un total de 54 funcionarios.</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 xml:space="preserve">Se adoptó el sistema de evaluación propuesto por el Departamento Administrativo del Servicio Civil, el cual fue acogido mediante Resolución Nº 035 de 2017. Este sistema busca realizar la oportuna verificación del cumplimiento de las funciones asignadas al personal de la planta temporal. </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lideró y coordinó la creación de grupos funcionales de trabajo, importantes para el desarrollo de la misionalidad, como lo es, el grupo de contratación, liderado por esta Dirección de Gestión Corporativa y CID.</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adelantaron las gestiones administrativas necesarias para la creación del cargo Jefe de la Oficina Tecnológica de la Información y las Comunicaciones (Tics)</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 xml:space="preserve">El estado de avance del Plan de Acción del Proceso de Gestión del Talento Humano fue del 91% </w:t>
      </w:r>
    </w:p>
    <w:p w:rsidR="00B52A9F" w:rsidRPr="00CC51E2" w:rsidRDefault="00B52A9F" w:rsidP="00B52A9F">
      <w:pPr>
        <w:pStyle w:val="NormalWeb"/>
        <w:spacing w:before="0" w:after="0"/>
        <w:jc w:val="both"/>
        <w:rPr>
          <w:rFonts w:ascii="Arial" w:hAnsi="Arial" w:cs="Arial"/>
          <w:color w:val="000000"/>
          <w:sz w:val="20"/>
        </w:rPr>
      </w:pPr>
    </w:p>
    <w:p w:rsidR="00B52A9F" w:rsidRPr="00CC51E2" w:rsidRDefault="00B52A9F" w:rsidP="00B52A9F">
      <w:pPr>
        <w:spacing w:after="0" w:line="312" w:lineRule="auto"/>
        <w:rPr>
          <w:rFonts w:ascii="Arial" w:hAnsi="Arial" w:cs="Arial"/>
          <w:sz w:val="20"/>
          <w:szCs w:val="20"/>
        </w:rPr>
      </w:pPr>
      <w:r w:rsidRPr="00CC51E2">
        <w:rPr>
          <w:rFonts w:ascii="Arial" w:hAnsi="Arial" w:cs="Arial"/>
          <w:sz w:val="20"/>
          <w:szCs w:val="20"/>
        </w:rPr>
        <w:t>Vigencia 2017</w:t>
      </w:r>
    </w:p>
    <w:p w:rsidR="00B52A9F" w:rsidRPr="00CC51E2" w:rsidRDefault="00B52A9F" w:rsidP="00B52A9F">
      <w:pPr>
        <w:pStyle w:val="Prrafodelista"/>
        <w:spacing w:after="0" w:line="240" w:lineRule="auto"/>
        <w:ind w:left="360"/>
        <w:rPr>
          <w:rFonts w:ascii="Arial" w:hAnsi="Arial" w:cs="Arial"/>
          <w:b/>
          <w:color w:val="4F81BD" w:themeColor="accent1"/>
          <w:sz w:val="20"/>
          <w:szCs w:val="20"/>
          <w:u w:val="single"/>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Para la presente anualidad, en razón a los cambios estructurales que se estaban realizando al interior de la entidad, se lideraron modificaciones en la caracterización de los procesos que hacen parte de la Dirección, siendo reflejada la gestión en tres actividades macro:</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lastRenderedPageBreak/>
        <w:t>Satisfacción de las necesidades del Talento Humano</w:t>
      </w:r>
      <w:r w:rsidRPr="00CC51E2">
        <w:rPr>
          <w:rFonts w:ascii="Arial" w:hAnsi="Arial" w:cs="Arial"/>
          <w:sz w:val="20"/>
          <w:szCs w:val="20"/>
        </w:rPr>
        <w:t>: Es la ejecución de los planes, programas y proyectos relacionados con Capacitación, Bienestar y Seguridad y Salud en el Trabajo.</w:t>
      </w:r>
    </w:p>
    <w:p w:rsidR="00B52A9F" w:rsidRPr="00CC51E2" w:rsidRDefault="00B52A9F" w:rsidP="00B52A9F">
      <w:pPr>
        <w:pStyle w:val="Prrafodelista"/>
        <w:spacing w:after="0" w:line="312" w:lineRule="auto"/>
        <w:jc w:val="both"/>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t>Administración de la Planta de Personal</w:t>
      </w:r>
      <w:r w:rsidRPr="00CC51E2">
        <w:rPr>
          <w:rFonts w:ascii="Arial" w:hAnsi="Arial" w:cs="Arial"/>
          <w:sz w:val="20"/>
          <w:szCs w:val="20"/>
        </w:rPr>
        <w:t>: Comprende las actividades relacionadas con el manejo de la planta de personal, tales como vinculaciones, gestión de las novedades o situaciones administrativas, gestión de nómina y seguridad social, así como la custodia de las historias laborales de los funcionarios y ex funcionarios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t>Operación de los Sistemas de Evaluación de Desempeño de la Gestión de la Planta de Personal</w:t>
      </w:r>
      <w:r w:rsidRPr="00CC51E2">
        <w:rPr>
          <w:rFonts w:ascii="Arial" w:hAnsi="Arial" w:cs="Arial"/>
          <w:sz w:val="20"/>
          <w:szCs w:val="20"/>
        </w:rPr>
        <w:t>: establecimiento de las diferentes metodologías para la evaluación de los funcionarios públicos, con el fin de fortalecer los programas de inducción y re-inducción, así como el plan de capacitación institucional.</w:t>
      </w:r>
    </w:p>
    <w:p w:rsidR="00B52A9F" w:rsidRPr="00CC51E2" w:rsidRDefault="00B52A9F" w:rsidP="00B52A9F">
      <w:pPr>
        <w:pStyle w:val="Prrafodelista"/>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Otro cambio importante que debió darse para alinear los procesos con la planeación estratégica de la entidad y en cumplimiento del marco normativo vigente, fue realizar la separación del Proceso de Control Interno Disciplinario del proceso de Gestión del Talento Humano. Para tal efecto, se construyó la caracterización, el procedimiento y se sometió el proceso de separación a la aprobación del Comité Directivo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Otras actividades efectuadas: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Realización de capacitaciones a través del Servicio Nacional de Aprendizaje (SENA), en temas como: comunicación asertiva, enfocada a trabajo en equipo y liderazgo y aplicación de normas y reglas ortográficas en redacción de documentos empresariales.</w:t>
      </w:r>
    </w:p>
    <w:p w:rsidR="00B52A9F" w:rsidRPr="00CC51E2" w:rsidRDefault="00B52A9F" w:rsidP="00B52A9F">
      <w:pPr>
        <w:pStyle w:val="Prrafodelista"/>
        <w:spacing w:after="0" w:line="240" w:lineRule="auto"/>
        <w:ind w:left="357" w:firstLine="60"/>
        <w:jc w:val="both"/>
        <w:rPr>
          <w:rFonts w:ascii="Arial" w:hAnsi="Arial" w:cs="Arial"/>
          <w:sz w:val="20"/>
          <w:szCs w:val="20"/>
        </w:rPr>
      </w:pPr>
    </w:p>
    <w:p w:rsidR="00B52A9F" w:rsidRPr="00CC51E2" w:rsidRDefault="00B52A9F" w:rsidP="0057468E">
      <w:pPr>
        <w:pStyle w:val="Prrafodelista"/>
        <w:numPr>
          <w:ilvl w:val="0"/>
          <w:numId w:val="32"/>
        </w:numPr>
        <w:spacing w:after="0" w:line="240" w:lineRule="auto"/>
        <w:jc w:val="both"/>
        <w:rPr>
          <w:rFonts w:ascii="Arial" w:hAnsi="Arial" w:cs="Arial"/>
          <w:sz w:val="20"/>
          <w:szCs w:val="20"/>
        </w:rPr>
      </w:pPr>
      <w:r w:rsidRPr="00CC51E2">
        <w:rPr>
          <w:rFonts w:ascii="Arial" w:hAnsi="Arial" w:cs="Arial"/>
          <w:sz w:val="20"/>
          <w:szCs w:val="20"/>
        </w:rPr>
        <w:t xml:space="preserve">La Implementación de las nuevas Metodologías de Evaluación de los Servidores Públicos, se destaca que se adoptaron dichos sistemas para todo tipo de vinculación de los funcionarios de la Caja de la Vivienda Popular (Carrera Administrativa, Provisionales, Planta Temporal y Nivel Directivo o de Libre Nombramiento y Remoción) dando cumplimiento a los lineamientos impartidos por el Departamento Administrativo del Servicio Civil (DASC). </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 xml:space="preserve">En el marco del Sistema de Gestión de Seguridad y Salud en el Trabajo SG-SST se destaca la implementación del plan de intervención, de acuerdo con los resultados de la batería de riesgo psicosocial realizada en el 2016, acatando los lineamientos establecidos en la Resolución 2646 de 2008 expedida por el Ministerio de Trabajo. Para lo pertinente, se solicitó a la Administradora de Riesgos Laborales (ARL) Positiva, estructurar el plan en esa vía. </w:t>
      </w:r>
    </w:p>
    <w:p w:rsidR="00B52A9F" w:rsidRPr="00CC51E2" w:rsidRDefault="00B52A9F" w:rsidP="00B52A9F">
      <w:pPr>
        <w:pStyle w:val="Prrafodelista"/>
        <w:spacing w:after="0" w:line="240" w:lineRule="auto"/>
        <w:ind w:left="717"/>
        <w:jc w:val="both"/>
        <w:rPr>
          <w:rFonts w:ascii="Arial" w:hAnsi="Arial" w:cs="Arial"/>
          <w:sz w:val="20"/>
          <w:szCs w:val="20"/>
        </w:rPr>
      </w:pPr>
    </w:p>
    <w:p w:rsidR="00B52A9F" w:rsidRPr="00CC51E2"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Se programaron los exámenes ocupacionales periódicos, de laboratorio y visiometría para los funcionarios de planta fija y temporal, utilizando diferentes piezas de comunicación para divulgar al interior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
        </w:numPr>
        <w:shd w:val="clear" w:color="auto" w:fill="FFFFFF"/>
        <w:spacing w:after="0" w:line="240" w:lineRule="auto"/>
        <w:jc w:val="both"/>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 xml:space="preserve">Mediante la Resolución 2388 de 2016, se unificaron las reglas para el recaudo de aportes al sistema de Seguridad Social y Parafiscales, realizándose la implementación en el sistema PERNO. </w:t>
      </w:r>
    </w:p>
    <w:p w:rsidR="00B52A9F" w:rsidRPr="00CC51E2" w:rsidRDefault="00B52A9F" w:rsidP="00B52A9F">
      <w:pPr>
        <w:pStyle w:val="Prrafodelista"/>
        <w:rPr>
          <w:rFonts w:ascii="Arial" w:eastAsia="Times New Roman" w:hAnsi="Arial" w:cs="Arial"/>
          <w:color w:val="222222"/>
          <w:sz w:val="20"/>
          <w:szCs w:val="20"/>
          <w:lang w:val="es-ES" w:eastAsia="es-ES"/>
        </w:rPr>
      </w:pPr>
    </w:p>
    <w:p w:rsidR="00B52A9F"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El estado de avance del Plan de Acción del Proceso de Gestión del Talento Humano a octubre 31 es del 66%.</w:t>
      </w:r>
    </w:p>
    <w:p w:rsidR="00CC51E2" w:rsidRPr="00CC51E2" w:rsidRDefault="00CC51E2" w:rsidP="00CC51E2">
      <w:pPr>
        <w:pStyle w:val="Prrafodelista"/>
        <w:rPr>
          <w:rFonts w:ascii="Arial" w:hAnsi="Arial" w:cs="Arial"/>
          <w:sz w:val="20"/>
          <w:szCs w:val="20"/>
        </w:rPr>
      </w:pPr>
    </w:p>
    <w:p w:rsidR="00CC51E2" w:rsidRPr="00CC51E2" w:rsidRDefault="00CC51E2" w:rsidP="00CC51E2">
      <w:pPr>
        <w:pStyle w:val="Prrafodelista"/>
        <w:spacing w:after="0" w:line="240" w:lineRule="auto"/>
        <w:ind w:left="717"/>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1" w:name="_Toc499145417"/>
      <w:r w:rsidRPr="00CC51E2">
        <w:rPr>
          <w:rFonts w:ascii="Arial" w:hAnsi="Arial" w:cs="Arial"/>
          <w:sz w:val="20"/>
          <w:szCs w:val="20"/>
        </w:rPr>
        <w:lastRenderedPageBreak/>
        <w:t>PROCESO DE ADMINISTRACIÓN DE LA INFORMACIÓN</w:t>
      </w:r>
      <w:bookmarkEnd w:id="11"/>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Vigencia 2016</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Realización de un inventario con las bases de datos existentes en la entidad, con el fin de concentrar y unificar la información, imprimiéndole veracidad y oportunidad.</w:t>
      </w:r>
    </w:p>
    <w:p w:rsidR="00B52A9F" w:rsidRPr="00CC51E2" w:rsidRDefault="00B52A9F" w:rsidP="00B52A9F">
      <w:pPr>
        <w:pStyle w:val="NormalWeb"/>
        <w:spacing w:before="0" w:after="0"/>
        <w:ind w:left="720"/>
        <w:jc w:val="both"/>
        <w:rPr>
          <w:rFonts w:ascii="Arial" w:hAnsi="Arial" w:cs="Arial"/>
          <w:color w:val="000000"/>
          <w:sz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Creación de la Política para la Seguridad Informática, la cual se adoptó mediante la Resolución No. 4669 de 12 de septiembre de 2016.</w:t>
      </w:r>
    </w:p>
    <w:p w:rsidR="00B52A9F" w:rsidRPr="00CC51E2" w:rsidRDefault="00B52A9F" w:rsidP="0057468E">
      <w:pPr>
        <w:pStyle w:val="NormalWeb"/>
        <w:numPr>
          <w:ilvl w:val="0"/>
          <w:numId w:val="33"/>
        </w:numPr>
        <w:overflowPunct/>
        <w:autoSpaceDE/>
        <w:autoSpaceDN/>
        <w:adjustRightInd/>
        <w:spacing w:before="240" w:after="0"/>
        <w:jc w:val="both"/>
        <w:textAlignment w:val="auto"/>
        <w:rPr>
          <w:rFonts w:ascii="Arial" w:hAnsi="Arial" w:cs="Arial"/>
          <w:color w:val="000000"/>
          <w:sz w:val="20"/>
        </w:rPr>
      </w:pPr>
      <w:r w:rsidRPr="00CC51E2">
        <w:rPr>
          <w:rFonts w:ascii="Arial" w:hAnsi="Arial" w:cs="Arial"/>
          <w:sz w:val="20"/>
        </w:rPr>
        <w:t>Actualización de las Tablas de Retención Documental (TRD), las cuales se enviaron al Consejo Distrital de Archivos para la oficialización de su convalidación.</w:t>
      </w:r>
    </w:p>
    <w:p w:rsidR="00B52A9F" w:rsidRPr="00CC51E2" w:rsidRDefault="00B52A9F" w:rsidP="0057468E">
      <w:pPr>
        <w:pStyle w:val="NormalWeb"/>
        <w:numPr>
          <w:ilvl w:val="0"/>
          <w:numId w:val="33"/>
        </w:numPr>
        <w:overflowPunct/>
        <w:autoSpaceDE/>
        <w:autoSpaceDN/>
        <w:adjustRightInd/>
        <w:spacing w:before="240" w:after="240"/>
        <w:jc w:val="both"/>
        <w:textAlignment w:val="auto"/>
        <w:rPr>
          <w:rFonts w:ascii="Arial" w:hAnsi="Arial" w:cs="Arial"/>
          <w:color w:val="000000"/>
          <w:sz w:val="20"/>
        </w:rPr>
      </w:pPr>
      <w:r w:rsidRPr="00CC51E2">
        <w:rPr>
          <w:rFonts w:ascii="Arial" w:hAnsi="Arial" w:cs="Arial"/>
          <w:sz w:val="20"/>
        </w:rPr>
        <w:t>Se llevaron a cabo las actividades propuestas en el plan de trabajo diseñado para el Sistema Integrado de Conservación y Preservación – SICYP, convenido para esta vigencia.</w:t>
      </w:r>
    </w:p>
    <w:p w:rsidR="00B52A9F" w:rsidRPr="00CC51E2" w:rsidRDefault="00B52A9F" w:rsidP="0057468E">
      <w:pPr>
        <w:numPr>
          <w:ilvl w:val="0"/>
          <w:numId w:val="33"/>
        </w:numPr>
        <w:spacing w:after="240" w:line="240" w:lineRule="auto"/>
        <w:rPr>
          <w:rFonts w:ascii="Arial" w:hAnsi="Arial" w:cs="Arial"/>
          <w:sz w:val="20"/>
          <w:szCs w:val="20"/>
        </w:rPr>
      </w:pPr>
      <w:r w:rsidRPr="00CC51E2">
        <w:rPr>
          <w:rFonts w:ascii="Arial" w:hAnsi="Arial" w:cs="Arial"/>
          <w:sz w:val="20"/>
          <w:szCs w:val="20"/>
        </w:rPr>
        <w:t>Se concluyó la elaboración del Diagnóstico Integral de Archivo.</w:t>
      </w: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Se avanzó en la adecuación de los sistemas de información. </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bCs/>
          <w:iCs/>
          <w:color w:val="000000"/>
          <w:sz w:val="20"/>
        </w:rPr>
        <w:t xml:space="preserve">Dando alcance al Decreto 415 de 2016, se adelantaron las gestiones administrativas necesarias para la creación del cargo </w:t>
      </w:r>
      <w:r w:rsidRPr="00CC51E2">
        <w:rPr>
          <w:rFonts w:ascii="Arial" w:hAnsi="Arial" w:cs="Arial"/>
          <w:sz w:val="20"/>
        </w:rPr>
        <w:t>Jefe Oficina Tecnológica de la Información y las Comunicaciones (Tics), en razón a ello el organigrama de la entidad tuvo la siguiente modificación:</w:t>
      </w:r>
    </w:p>
    <w:p w:rsidR="00CC51E2" w:rsidRDefault="00CC51E2" w:rsidP="00CC51E2">
      <w:pPr>
        <w:pStyle w:val="Prrafodelista"/>
        <w:rPr>
          <w:rFonts w:ascii="Arial" w:hAnsi="Arial" w:cs="Arial"/>
          <w:color w:val="000000"/>
          <w:sz w:val="20"/>
        </w:rPr>
      </w:pPr>
    </w:p>
    <w:p w:rsidR="00CC51E2" w:rsidRPr="00CC51E2" w:rsidRDefault="00CC51E2" w:rsidP="00CC51E2">
      <w:pPr>
        <w:pStyle w:val="NormalWeb"/>
        <w:overflowPunct/>
        <w:autoSpaceDE/>
        <w:autoSpaceDN/>
        <w:adjustRightInd/>
        <w:spacing w:before="0" w:after="0"/>
        <w:ind w:left="720"/>
        <w:jc w:val="both"/>
        <w:textAlignment w:val="auto"/>
        <w:rPr>
          <w:rFonts w:ascii="Arial" w:hAnsi="Arial" w:cs="Arial"/>
          <w:color w:val="000000"/>
          <w:sz w:val="20"/>
        </w:rPr>
      </w:pPr>
    </w:p>
    <w:p w:rsidR="00B52A9F" w:rsidRPr="00CC51E2" w:rsidRDefault="00B52A9F" w:rsidP="00B52A9F">
      <w:pPr>
        <w:pStyle w:val="NormalWeb"/>
        <w:spacing w:before="0" w:after="0"/>
        <w:ind w:left="720"/>
        <w:jc w:val="both"/>
        <w:rPr>
          <w:rFonts w:ascii="Arial" w:hAnsi="Arial" w:cs="Arial"/>
          <w:color w:val="000000"/>
          <w:sz w:val="20"/>
        </w:rPr>
      </w:pPr>
      <w:r w:rsidRPr="00CC51E2">
        <w:rPr>
          <w:rFonts w:ascii="Arial" w:hAnsi="Arial" w:cs="Arial"/>
          <w:noProof/>
          <w:sz w:val="20"/>
        </w:rPr>
        <mc:AlternateContent>
          <mc:Choice Requires="wps">
            <w:drawing>
              <wp:anchor distT="0" distB="0" distL="114300" distR="114300" simplePos="0" relativeHeight="251734016" behindDoc="0" locked="0" layoutInCell="1" allowOverlap="1" wp14:anchorId="50FA1097" wp14:editId="245B5DE1">
                <wp:simplePos x="0" y="0"/>
                <wp:positionH relativeFrom="column">
                  <wp:posOffset>4901565</wp:posOffset>
                </wp:positionH>
                <wp:positionV relativeFrom="paragraph">
                  <wp:posOffset>1499235</wp:posOffset>
                </wp:positionV>
                <wp:extent cx="276225" cy="666750"/>
                <wp:effectExtent l="19050" t="0" r="9525" b="19050"/>
                <wp:wrapNone/>
                <wp:docPr id="508" name="Flecha: haci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666750"/>
                        </a:xfrm>
                        <a:prstGeom prst="down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6B0AE8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8" o:spid="_x0000_s1026" type="#_x0000_t67" style="position:absolute;margin-left:385.95pt;margin-top:118.05pt;width:21.75pt;height:5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LxngIAAJkFAAAOAAAAZHJzL2Uyb0RvYy54bWysVEtv2zAMvg/YfxB0X+0ETdoZdYqgRYYB&#10;QVusHXpmZLn2JouapMTJfv0o+dEsK3YY5oMgmuTHhz7y6nrfKLaT1tWocz45SzmTWmBR65ecf31a&#10;fbjkzHnQBSjUMucH6fj14v27q9ZkcooVqkJaRiDaZa3JeeW9yZLEiUo24M7QSE3KEm0DnkT7khQW&#10;WkJvVDJN03nSoi2MRSGdo7+3nZIvIn5ZSuHvy9JJz1TOKTcfTxvPTTiTxRVkLxZMVYs+DfiHLBqo&#10;NQUdoW7BA9va+g+ophYWHZb+TGCTYFnWQsYaqJpJelLNYwVGxlqoOc6MbXL/D1bc7R4sq4ucz1J6&#10;Kg0NPdJKSVFBxioQNTDYwDdkl6FVrXEZeTyaBxuKdWaN4rsjRfKbJgiut9mXtgm2VCrbx74fxr7L&#10;vWeCfk4v5tPpjDNBqvl8fjGL75JANjgb6/wniQ0Ll5wX2OqltdjGlsNu7XzIAbLBLiaHqi5WtVJR&#10;CHySN8qyHRATQAip/TSURF7u1TLW0aUei/AHJYO/0l9kSW0KycagkaCngJNOVUEhuzizlL4hypBC&#10;jBkBA3JJGY7YPcBgeZzspIfp7YOrjPwendO/JdZVOnrEyKj96NzUGu1bAMqPkTv7/rFd15rQpQ0W&#10;ByKRxW66nBGrmt5pDc4/gKVxosGjFeHv6SgVtjnH/sZZhfbnW/+DPbGctJy1NJ45dz+2YCVn6rMm&#10;/n+cnJ+HeY7C+exiSoI91myONXrb3CC9+4SWkRHxGuy9Gq6lxeaZNskyRCUVaEGxcy68HYQb360N&#10;2kVCLpfRjGbYgF/rRyMCeOhqoODT/hms6cnqieV3OIwyZCd07WyDp8bl1mNZRy6/9rXvN81/JE6/&#10;q8KCOZaj1etGXfwCAAD//wMAUEsDBBQABgAIAAAAIQArzJxK4gAAAAsBAAAPAAAAZHJzL2Rvd25y&#10;ZXYueG1sTI/LTsMwEEX3SPyDNUjsqOO29BEyqRCiC4S6aOAD3HhI0sR2ZLtNwtdjVrAc3aN7z2S7&#10;UXfsSs431iCIWQKMTGlVYyqEz4/9wwaYD9Io2VlDCBN52OW3N5lMlR3Mka5FqFgsMT6VCHUIfcq5&#10;L2vS0s9sTyZmX9ZpGeLpKq6cHGK57vg8SVZcy8bEhVr29FJT2RYXjfDaFq7a6rf3w/58bsfpWw/T&#10;USPe343PT8ACjeEPhl/9qA55dDrZi1GedQjrtdhGFGG+WAlgkdiIxyWwE8JiKQTwPOP/f8h/AAAA&#10;//8DAFBLAQItABQABgAIAAAAIQC2gziS/gAAAOEBAAATAAAAAAAAAAAAAAAAAAAAAABbQ29udGVu&#10;dF9UeXBlc10ueG1sUEsBAi0AFAAGAAgAAAAhADj9If/WAAAAlAEAAAsAAAAAAAAAAAAAAAAALwEA&#10;AF9yZWxzLy5yZWxzUEsBAi0AFAAGAAgAAAAhABkAMvGeAgAAmQUAAA4AAAAAAAAAAAAAAAAALgIA&#10;AGRycy9lMm9Eb2MueG1sUEsBAi0AFAAGAAgAAAAhACvMnEriAAAACwEAAA8AAAAAAAAAAAAAAAAA&#10;+AQAAGRycy9kb3ducmV2LnhtbFBLBQYAAAAABAAEAPMAAAAHBgAAAAA=&#10;" adj="17126" fillcolor="#c0504d [3205]" strokecolor="#243f60 [1604]" strokeweight="2pt">
                <v:path arrowok="t"/>
              </v:shape>
            </w:pict>
          </mc:Fallback>
        </mc:AlternateContent>
      </w:r>
      <w:r w:rsidRPr="00CC51E2">
        <w:rPr>
          <w:rFonts w:ascii="Arial" w:hAnsi="Arial" w:cs="Arial"/>
          <w:noProof/>
          <w:sz w:val="20"/>
        </w:rPr>
        <w:drawing>
          <wp:inline distT="0" distB="0" distL="0" distR="0" wp14:anchorId="602D3F3A" wp14:editId="42DF80A4">
            <wp:extent cx="5618535" cy="2381250"/>
            <wp:effectExtent l="0" t="0" r="127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9519" cy="2385905"/>
                    </a:xfrm>
                    <a:prstGeom prst="rect">
                      <a:avLst/>
                    </a:prstGeom>
                    <a:noFill/>
                    <a:ln>
                      <a:noFill/>
                    </a:ln>
                  </pic:spPr>
                </pic:pic>
              </a:graphicData>
            </a:graphic>
          </wp:inline>
        </w:drawing>
      </w:r>
    </w:p>
    <w:p w:rsidR="00B52A9F" w:rsidRPr="00CC51E2" w:rsidRDefault="00B52A9F" w:rsidP="00B52A9F">
      <w:pPr>
        <w:pStyle w:val="NormalWeb"/>
        <w:spacing w:before="0" w:after="0"/>
        <w:ind w:left="720"/>
        <w:jc w:val="both"/>
        <w:rPr>
          <w:rFonts w:ascii="Arial" w:hAnsi="Arial" w:cs="Arial"/>
          <w:color w:val="000000"/>
          <w:sz w:val="20"/>
        </w:rPr>
      </w:pPr>
    </w:p>
    <w:p w:rsidR="00E12BE9" w:rsidRPr="00CC51E2" w:rsidRDefault="00E12BE9" w:rsidP="00B52A9F">
      <w:pPr>
        <w:jc w:val="both"/>
        <w:rPr>
          <w:rFonts w:ascii="Arial" w:hAnsi="Arial" w:cs="Arial"/>
          <w:sz w:val="20"/>
          <w:szCs w:val="20"/>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estado de avance del Plan de Acción del Proceso para esta vigencia fue del 86%. </w:t>
      </w: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lastRenderedPageBreak/>
        <w:t>Vigencia 2017</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NormalWeb"/>
        <w:spacing w:before="0" w:after="0"/>
        <w:jc w:val="both"/>
        <w:rPr>
          <w:rFonts w:ascii="Arial" w:hAnsi="Arial" w:cs="Arial"/>
          <w:color w:val="000000"/>
          <w:sz w:val="20"/>
          <w:highlight w:val="yellow"/>
        </w:rPr>
      </w:pPr>
      <w:r w:rsidRPr="00CC51E2">
        <w:rPr>
          <w:rFonts w:ascii="Arial" w:hAnsi="Arial" w:cs="Arial"/>
          <w:color w:val="000000"/>
          <w:sz w:val="20"/>
        </w:rPr>
        <w:t>Se avanzó en la división del proceso de administración de la información y el proceso de gestión documental en búsqueda de la especialización de dicha gestión. La división de estos procesos se logró el día 23 de junio, cuando fue aprobada su individualización por el Comité Directivo de la entidad.</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2" w:name="_Toc499145418"/>
      <w:r w:rsidRPr="00CC51E2">
        <w:rPr>
          <w:rFonts w:ascii="Arial" w:hAnsi="Arial" w:cs="Arial"/>
          <w:sz w:val="20"/>
          <w:szCs w:val="20"/>
        </w:rPr>
        <w:t>PROCESO DE ADQUISICIÓN DE BIENES Y SERVICIOS</w:t>
      </w:r>
      <w:bookmarkEnd w:id="12"/>
    </w:p>
    <w:p w:rsidR="00B52A9F" w:rsidRPr="00CC51E2" w:rsidRDefault="00B52A9F" w:rsidP="00B52A9F">
      <w:pPr>
        <w:spacing w:after="0" w:line="312" w:lineRule="auto"/>
        <w:jc w:val="both"/>
        <w:rPr>
          <w:rFonts w:ascii="Arial" w:hAnsi="Arial" w:cs="Arial"/>
          <w:color w:val="000000"/>
          <w:sz w:val="20"/>
          <w:szCs w:val="20"/>
        </w:rPr>
      </w:pPr>
    </w:p>
    <w:p w:rsidR="00B52A9F" w:rsidRPr="00CC51E2" w:rsidRDefault="00B52A9F" w:rsidP="00B52A9F">
      <w:pPr>
        <w:spacing w:after="0" w:line="312" w:lineRule="auto"/>
        <w:jc w:val="both"/>
        <w:rPr>
          <w:rFonts w:ascii="Arial" w:hAnsi="Arial" w:cs="Arial"/>
          <w:color w:val="000000"/>
          <w:sz w:val="20"/>
          <w:szCs w:val="20"/>
        </w:rPr>
      </w:pPr>
      <w:r w:rsidRPr="00CC51E2">
        <w:rPr>
          <w:rFonts w:ascii="Arial" w:hAnsi="Arial" w:cs="Arial"/>
          <w:color w:val="000000"/>
          <w:sz w:val="20"/>
          <w:szCs w:val="20"/>
        </w:rPr>
        <w:t>Vigencia 2016</w:t>
      </w:r>
    </w:p>
    <w:p w:rsidR="00B52A9F" w:rsidRPr="00CC51E2" w:rsidRDefault="00B52A9F" w:rsidP="00B52A9F">
      <w:pPr>
        <w:spacing w:after="0" w:line="312"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La Dirección de Gestión Corporativa y CID asumió la administración de este proceso, a partir del 18 de julio de 2016, de conformidad con lo establecido en la Resolución No. 3278 de 2016 y el Acuerdo No. 04 de 2016 reseñándose que este proceso se encontraba anteriormente en cabeza de la Dirección Jurídica. </w:t>
      </w:r>
    </w:p>
    <w:p w:rsidR="00B52A9F" w:rsidRPr="00CC51E2" w:rsidRDefault="00B52A9F" w:rsidP="00B52A9F">
      <w:pPr>
        <w:spacing w:after="0" w:line="240"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cambio institucional generado se debió a la necesidad de que este proceso de apoyo, no estuviese administrado como un proceso de dirección, como ocurría anteriormente.</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segundo lugar, se identificó la pertinencia de que la Dirección de Gestión Corporativa y CID, se encargará de este proceso de apoyo con el fin de visibilizar mejoras en las debilidades halladas por la Contraloría Distrital de Bogotá, respecto del procedimiento de gestión contractual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Finalmente, el cambio de responsable del proceso de adquisición de bienes y servicios, se debió a una estrategia institucional, tendiente a que la Dirección Jurídica centrara sus esfuerzos en la prevención del daño antijurídico y la defensa judicial de la entidad, permitiendo que la Dirección de Gestión Corporativa y CID asumiera el control del proceso en su calidad de dependencia líder en los aspectos administrativos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cambio así propuesto, fue debidamente sustentado técnicamente ante el Departamento Administrativo del Servicio Civil Distrital (DASCD), quien emitió el concepto técnico favorable con el cual se logró la posterior convalidación del Consejo Directivo de la entidad, a través del Acuerdo No. 04 de 2016.</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Como producto final, se realizó la modificación del manual de funciones y competencias laborales y se procedió a expedir un acto administrativo que impuso el régimen de transición correspondiente, para que la Dirección de Gestión Corporativa y CID asumiera a partir del 01 de agosto de 2016 el control del proceso.</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Con base en lo anterior, los principales logros y modificaciones del proceso de adquisición de bienes y servicios realizados durante el periodo de gestión, se describen a continuación: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formatos.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Al asumir el proceso, se identificó la necesidad de actualizar la totalidad de los formatos existentes, así como eliminar aquellos que imponían cargas administrativas innecesarias y generaban demoras en la etapa precontractual de los diferentes procesos de selección, dando cumplimiento así al principio de eficiencia administrativa, economía y celeridad en los procesos de contratación y a su vez se verifico el cumplimiento de la Ley anti trámites. </w:t>
      </w:r>
    </w:p>
    <w:p w:rsidR="00B52A9F" w:rsidRDefault="00B52A9F"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Pr="00CC51E2" w:rsidRDefault="00CC51E2"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Dentro de los cambios más significativos de formatos, se encuentran: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eliminación del formato de entrevista al futuro contratista de prestación de servicios profesionales y de apoyo a la gestión.</w:t>
      </w: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eliminación del formato de envío y aceptación de condiciones contractuales.</w:t>
      </w: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actualización de los formatos de aviso de convocatoria, verificación de requisitos jurídicos para varios proponentes, documento de observaciones y respuestas, el formato de adenda, entre otros, con el fin de garantizar mayor seguridad jurídica a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La actualización de los formatos se realizó para cada una de las modalidades de selección, siendo la modalidad de contratación directa, donde se evidenció la mayor concentración de formatos dispendiosos y alejados de la realidad contractual de la entidad y de las recomendaciones de Colombia Compra Eficiente.</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De igual manera, se evidenció la excesiva utilización de formatos obtenidos a través del módulo SISCO del sistema SICAPITAL, situación que hacía que los mismos no cumplieran con los requisitos mínimos establecidos en la normatividad sobre contratación estatal; por tal razón se crearon los siguientes formatos de relevancia para la gestión contractual de la entidad:</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Formato de estudios previos para las modalidades de selección.</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Formato de estudios previos para la selección de mínima cuantía.</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Formato de anexo técnico. </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Matriz de riesgos.</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Acta de cierre del proceso. </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Acta de aprobación de pólizas.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procedimientos.</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la gestión se identificó la necesidad de eliminar</w:t>
      </w:r>
      <w:r w:rsidRPr="00CC51E2">
        <w:rPr>
          <w:rFonts w:ascii="Arial" w:hAnsi="Arial" w:cs="Arial"/>
          <w:b/>
          <w:sz w:val="20"/>
          <w:szCs w:val="20"/>
        </w:rPr>
        <w:t xml:space="preserve"> </w:t>
      </w:r>
      <w:r w:rsidRPr="00CC51E2">
        <w:rPr>
          <w:rFonts w:ascii="Arial" w:hAnsi="Arial" w:cs="Arial"/>
          <w:sz w:val="20"/>
          <w:szCs w:val="20"/>
        </w:rPr>
        <w:t xml:space="preserve">los siguientes procedimientos: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7"/>
        </w:numPr>
        <w:spacing w:after="0" w:line="240" w:lineRule="auto"/>
        <w:jc w:val="both"/>
        <w:rPr>
          <w:rFonts w:ascii="Arial" w:hAnsi="Arial" w:cs="Arial"/>
          <w:sz w:val="20"/>
          <w:szCs w:val="20"/>
          <w:lang w:val="es-ES"/>
        </w:rPr>
      </w:pPr>
      <w:r w:rsidRPr="00CC51E2">
        <w:rPr>
          <w:rFonts w:ascii="Arial" w:hAnsi="Arial" w:cs="Arial"/>
          <w:sz w:val="20"/>
          <w:szCs w:val="20"/>
          <w:lang w:val="es-ES"/>
        </w:rPr>
        <w:t>Cesión del contrato, suspensión y reinicio de contratos,</w:t>
      </w:r>
    </w:p>
    <w:p w:rsidR="00B52A9F" w:rsidRPr="00CC51E2" w:rsidRDefault="00B52A9F" w:rsidP="0057468E">
      <w:pPr>
        <w:pStyle w:val="Prrafodelista"/>
        <w:numPr>
          <w:ilvl w:val="0"/>
          <w:numId w:val="57"/>
        </w:numPr>
        <w:spacing w:after="0" w:line="240" w:lineRule="auto"/>
        <w:jc w:val="both"/>
        <w:rPr>
          <w:rFonts w:ascii="Arial" w:hAnsi="Arial" w:cs="Arial"/>
          <w:color w:val="000000"/>
          <w:sz w:val="20"/>
          <w:szCs w:val="20"/>
          <w:lang w:val="es-ES"/>
        </w:rPr>
      </w:pPr>
      <w:r w:rsidRPr="00CC51E2">
        <w:rPr>
          <w:rFonts w:ascii="Arial" w:hAnsi="Arial" w:cs="Arial"/>
          <w:color w:val="000000"/>
          <w:sz w:val="20"/>
          <w:szCs w:val="20"/>
          <w:lang w:val="es-ES"/>
        </w:rPr>
        <w:t>Terminación anticipada del contrato por mutuo acuerdo</w:t>
      </w:r>
    </w:p>
    <w:p w:rsidR="00B52A9F" w:rsidRPr="00CC51E2" w:rsidRDefault="00B52A9F" w:rsidP="0057468E">
      <w:pPr>
        <w:pStyle w:val="Prrafodelista"/>
        <w:numPr>
          <w:ilvl w:val="0"/>
          <w:numId w:val="57"/>
        </w:numPr>
        <w:spacing w:after="0" w:line="240" w:lineRule="auto"/>
        <w:jc w:val="both"/>
        <w:rPr>
          <w:rFonts w:ascii="Arial" w:hAnsi="Arial" w:cs="Arial"/>
          <w:color w:val="000000"/>
          <w:sz w:val="20"/>
          <w:szCs w:val="20"/>
        </w:rPr>
      </w:pPr>
      <w:r w:rsidRPr="00CC51E2">
        <w:rPr>
          <w:rFonts w:ascii="Arial" w:hAnsi="Arial" w:cs="Arial"/>
          <w:color w:val="000000"/>
          <w:sz w:val="20"/>
          <w:szCs w:val="20"/>
          <w:lang w:val="es-ES"/>
        </w:rPr>
        <w:t xml:space="preserve">Terminación unilateral del contrato, para posteriormente condensarlos en un único </w:t>
      </w:r>
      <w:r w:rsidRPr="00CC51E2">
        <w:rPr>
          <w:rFonts w:ascii="Arial" w:hAnsi="Arial" w:cs="Arial"/>
          <w:color w:val="000000"/>
          <w:sz w:val="20"/>
          <w:szCs w:val="20"/>
        </w:rPr>
        <w:t>procedimiento denominado modificaciones contractuales, evitándose con ello trámites innecesarios y dificultades para las áreas técnicas al momento de estructurar las solicitudes.</w:t>
      </w:r>
    </w:p>
    <w:p w:rsidR="00B52A9F" w:rsidRPr="00CC51E2" w:rsidRDefault="00B52A9F" w:rsidP="00B52A9F">
      <w:pPr>
        <w:spacing w:after="0" w:line="240"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color w:val="000000"/>
          <w:sz w:val="20"/>
          <w:szCs w:val="20"/>
        </w:rPr>
        <w:t xml:space="preserve">Aunado a lo anterior, y dado el comportamiento de las contrataciones adelantadas por la entidad en años anteriores y a lo dispuesto por la normatividad vigente, se eliminó el procedimiento de </w:t>
      </w:r>
      <w:r w:rsidRPr="00CC51E2">
        <w:rPr>
          <w:rFonts w:ascii="Arial" w:hAnsi="Arial" w:cs="Arial"/>
          <w:sz w:val="20"/>
          <w:szCs w:val="20"/>
          <w:lang w:val="es-ES"/>
        </w:rPr>
        <w:t>contratación por concurso de méritos con precalificación, subsumiéndolo en el procedimiento general de concurso de méritos.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estado de avance del Plan de Acción del Proceso fue del 100%.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Vigencia 2017</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formatos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Al iniciar la vigencia, se hace necesario revisar los procedimientos y formatos del proceso, una vez se advirtieron las siguientes situaciones: cambio de normativa, cambios en la estructura de los informes emitidos a los entes de control, necesidad de mejorar el ejercicio de la supervisión y cumplimiento de la ley </w:t>
      </w:r>
      <w:r w:rsidRPr="00CC51E2">
        <w:rPr>
          <w:rFonts w:ascii="Arial" w:hAnsi="Arial" w:cs="Arial"/>
          <w:sz w:val="20"/>
          <w:szCs w:val="20"/>
        </w:rPr>
        <w:lastRenderedPageBreak/>
        <w:t xml:space="preserve">de archivo, dadas las circunstancias se crearon los </w:t>
      </w:r>
      <w:r w:rsidRPr="00CC51E2">
        <w:rPr>
          <w:rFonts w:ascii="Arial" w:hAnsi="Arial" w:cs="Arial"/>
          <w:sz w:val="20"/>
          <w:szCs w:val="20"/>
          <w:lang w:val="es-ES"/>
        </w:rPr>
        <w:t>siguientes formatos de relevancia para la gestión contractual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lang w:val="es-ES"/>
        </w:rPr>
        <w:t>Formato de Declaración Juramentada – Multas.</w:t>
      </w:r>
      <w:r w:rsidRPr="00CC51E2">
        <w:rPr>
          <w:rFonts w:ascii="Arial" w:hAnsi="Arial" w:cs="Arial"/>
          <w:sz w:val="20"/>
          <w:szCs w:val="20"/>
        </w:rPr>
        <w:t xml:space="preserve">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Caracterización de la Población.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Informes de Supervisión.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Informe de Actividades para Persona Jurídica y Persona Natural.  </w:t>
      </w:r>
    </w:p>
    <w:p w:rsidR="00B52A9F" w:rsidRPr="00CC51E2" w:rsidRDefault="00B52A9F" w:rsidP="0057468E">
      <w:pPr>
        <w:pStyle w:val="Prrafodelista"/>
        <w:numPr>
          <w:ilvl w:val="0"/>
          <w:numId w:val="58"/>
        </w:numPr>
        <w:spacing w:after="0" w:line="240" w:lineRule="auto"/>
        <w:jc w:val="both"/>
        <w:rPr>
          <w:rFonts w:ascii="Arial" w:eastAsia="Times New Roman" w:hAnsi="Arial" w:cs="Arial"/>
          <w:sz w:val="20"/>
          <w:szCs w:val="20"/>
          <w:lang w:val="es-ES_tradnl" w:eastAsia="es-ES_tradnl"/>
        </w:rPr>
      </w:pPr>
      <w:r w:rsidRPr="00CC51E2">
        <w:rPr>
          <w:rFonts w:ascii="Arial" w:hAnsi="Arial" w:cs="Arial"/>
          <w:sz w:val="20"/>
          <w:szCs w:val="20"/>
        </w:rPr>
        <w:t xml:space="preserve">Acta de Cierre de Expediente Contractual.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Listas de Chequeo para las diferentes modalidades de contratación. Formato Compromiso anticorrupción.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lang w:val="es-ES"/>
        </w:rPr>
        <w:t>La actualización de los formatos se realizó para cada una de las modalidades de selección, realizando actualización de normatividad y ajustes en los formatos de proyecto de pliego de condiciones, aviso de convocatoria, estudios previos, pliego de condiciones definitivo, acto administrativo de apertura entre otros, permitiendo con ello que se ajustarán a la realidad de la Entidad y a las actualizaciones y recomendaciones establecidas por Colombia Compra Eficiente</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2"/>
        <w:widowControl/>
        <w:numPr>
          <w:ilvl w:val="1"/>
          <w:numId w:val="19"/>
        </w:numPr>
        <w:suppressAutoHyphens w:val="0"/>
        <w:overflowPunct w:val="0"/>
        <w:autoSpaceDE w:val="0"/>
        <w:autoSpaceDN w:val="0"/>
        <w:adjustRightInd w:val="0"/>
        <w:ind w:left="709" w:hanging="652"/>
        <w:jc w:val="both"/>
        <w:textAlignment w:val="baseline"/>
        <w:rPr>
          <w:rFonts w:ascii="Arial" w:hAnsi="Arial" w:cs="Arial"/>
          <w:sz w:val="20"/>
          <w:szCs w:val="20"/>
        </w:rPr>
      </w:pPr>
      <w:bookmarkStart w:id="13" w:name="_Toc499145419"/>
      <w:r w:rsidRPr="00CC51E2">
        <w:rPr>
          <w:rFonts w:ascii="Arial" w:hAnsi="Arial" w:cs="Arial"/>
          <w:sz w:val="20"/>
          <w:szCs w:val="20"/>
        </w:rPr>
        <w:t>PRINCIPALES LOGROS ALCANZADOS PARA LOS PROYECTOS DE INVERSIÓN</w:t>
      </w:r>
      <w:bookmarkEnd w:id="13"/>
      <w:r w:rsidRPr="00CC51E2">
        <w:rPr>
          <w:rFonts w:ascii="Arial" w:hAnsi="Arial" w:cs="Arial"/>
          <w:sz w:val="20"/>
          <w:szCs w:val="20"/>
        </w:rPr>
        <w:t xml:space="preserve"> </w:t>
      </w:r>
    </w:p>
    <w:p w:rsidR="00B52A9F" w:rsidRPr="00CC51E2" w:rsidRDefault="00B52A9F" w:rsidP="00B52A9F">
      <w:pPr>
        <w:spacing w:after="0" w:line="240" w:lineRule="auto"/>
        <w:jc w:val="both"/>
        <w:rPr>
          <w:rFonts w:ascii="Arial" w:hAnsi="Arial" w:cs="Arial"/>
          <w:b/>
          <w:sz w:val="20"/>
          <w:szCs w:val="20"/>
          <w:lang w:val="es-ES"/>
        </w:rPr>
      </w:pPr>
    </w:p>
    <w:p w:rsidR="00B52A9F" w:rsidRPr="00CC51E2" w:rsidRDefault="00B52A9F" w:rsidP="00B52A9F">
      <w:pPr>
        <w:spacing w:after="0" w:line="240" w:lineRule="auto"/>
        <w:jc w:val="both"/>
        <w:rPr>
          <w:rFonts w:ascii="Arial" w:hAnsi="Arial" w:cs="Arial"/>
          <w:b/>
          <w:sz w:val="20"/>
          <w:szCs w:val="20"/>
          <w:lang w:val="es-ES"/>
        </w:rPr>
      </w:pPr>
      <w:r w:rsidRPr="00CC51E2">
        <w:rPr>
          <w:rFonts w:ascii="Arial" w:hAnsi="Arial" w:cs="Arial"/>
          <w:b/>
          <w:sz w:val="20"/>
          <w:szCs w:val="20"/>
          <w:lang w:val="es-ES"/>
        </w:rPr>
        <w:t>VIGENCIA 2016</w:t>
      </w:r>
    </w:p>
    <w:p w:rsidR="00B52A9F" w:rsidRPr="00CC51E2" w:rsidRDefault="00B52A9F" w:rsidP="0057468E">
      <w:pPr>
        <w:pStyle w:val="Ttulo3"/>
        <w:widowControl/>
        <w:numPr>
          <w:ilvl w:val="2"/>
          <w:numId w:val="19"/>
        </w:numPr>
        <w:suppressAutoHyphens w:val="0"/>
        <w:overflowPunct w:val="0"/>
        <w:autoSpaceDE w:val="0"/>
        <w:autoSpaceDN w:val="0"/>
        <w:adjustRightInd w:val="0"/>
        <w:ind w:left="170"/>
        <w:textAlignment w:val="baseline"/>
        <w:rPr>
          <w:rFonts w:ascii="Arial" w:hAnsi="Arial" w:cs="Arial"/>
          <w:b w:val="0"/>
          <w:sz w:val="20"/>
          <w:szCs w:val="20"/>
        </w:rPr>
      </w:pPr>
      <w:bookmarkStart w:id="14" w:name="_Toc499134724"/>
      <w:r w:rsidRPr="00CC51E2">
        <w:rPr>
          <w:rFonts w:ascii="Arial" w:hAnsi="Arial" w:cs="Arial"/>
          <w:b w:val="0"/>
          <w:sz w:val="20"/>
          <w:szCs w:val="20"/>
        </w:rPr>
        <w:t xml:space="preserve"> </w:t>
      </w:r>
      <w:bookmarkStart w:id="15" w:name="_Toc499145420"/>
      <w:r w:rsidRPr="00CC51E2">
        <w:rPr>
          <w:rFonts w:ascii="Arial" w:hAnsi="Arial" w:cs="Arial"/>
          <w:b w:val="0"/>
          <w:sz w:val="20"/>
          <w:szCs w:val="20"/>
        </w:rPr>
        <w:t>PROYECTOS DE INVERSIÓN PLAN DE DESARROLLO “BOGOTÁ HUMANÁ</w:t>
      </w:r>
      <w:r w:rsidRPr="00CC51E2">
        <w:rPr>
          <w:rStyle w:val="Refdenotaalpie"/>
          <w:rFonts w:ascii="Arial" w:hAnsi="Arial" w:cs="Arial"/>
          <w:b w:val="0"/>
          <w:sz w:val="20"/>
          <w:szCs w:val="20"/>
        </w:rPr>
        <w:footnoteReference w:id="1"/>
      </w:r>
      <w:r w:rsidRPr="00CC51E2">
        <w:rPr>
          <w:rFonts w:ascii="Arial" w:hAnsi="Arial" w:cs="Arial"/>
          <w:b w:val="0"/>
          <w:sz w:val="20"/>
          <w:szCs w:val="20"/>
        </w:rPr>
        <w:t>”</w:t>
      </w:r>
      <w:bookmarkEnd w:id="14"/>
      <w:bookmarkEnd w:id="15"/>
    </w:p>
    <w:p w:rsidR="00B52A9F" w:rsidRPr="00CC51E2" w:rsidRDefault="00B52A9F" w:rsidP="00B52A9F">
      <w:pPr>
        <w:pStyle w:val="Ttulo3"/>
        <w:ind w:left="170"/>
        <w:rPr>
          <w:rFonts w:ascii="Arial" w:hAnsi="Arial" w:cs="Arial"/>
          <w:sz w:val="20"/>
          <w:szCs w:val="20"/>
        </w:rPr>
      </w:pPr>
    </w:p>
    <w:p w:rsidR="00B52A9F" w:rsidRPr="00CC51E2" w:rsidRDefault="00B52A9F" w:rsidP="0057468E">
      <w:pPr>
        <w:pStyle w:val="Prrafodelista"/>
        <w:numPr>
          <w:ilvl w:val="3"/>
          <w:numId w:val="66"/>
        </w:numPr>
        <w:spacing w:after="0" w:line="240" w:lineRule="auto"/>
        <w:jc w:val="both"/>
        <w:rPr>
          <w:rFonts w:ascii="Arial" w:hAnsi="Arial" w:cs="Arial"/>
          <w:b/>
          <w:sz w:val="20"/>
          <w:szCs w:val="20"/>
        </w:rPr>
      </w:pPr>
      <w:r w:rsidRPr="00CC51E2">
        <w:rPr>
          <w:rFonts w:ascii="Arial" w:hAnsi="Arial" w:cs="Arial"/>
          <w:b/>
          <w:sz w:val="20"/>
          <w:szCs w:val="20"/>
        </w:rPr>
        <w:t xml:space="preserve"> PROYECTO 404: “FORTALECIMIENTO INSTITUCIONAL PARA AUMENTAR LA EFICIENCIA DE LA GESTIÓN”.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Este proyecto se ejecuta con el apoyo de la Subdirección Administrativa, la Subdirección Financiera y la Oficina Asesora de Planeación, el cumplimiento en las metas registro un avance del 94,37% y una ejecución presupuestal del 98,33% a diciembre 31 de 2016, los principales logros obtenidos se resumen así:</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Se cumplió con los cronogramas establecidos para realizar el seguimiento a las herramientas de gestión.</w:t>
      </w:r>
    </w:p>
    <w:p w:rsidR="00B52A9F" w:rsidRPr="00CC51E2" w:rsidRDefault="00B52A9F" w:rsidP="00B52A9F">
      <w:pPr>
        <w:pStyle w:val="Prrafodelista"/>
        <w:spacing w:after="0" w:line="240" w:lineRule="auto"/>
        <w:ind w:left="1440"/>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Se planificó y coordinó la Auditoria de seguimiento para actualizar y mantener el cumplimiento de los requisitos de la NTCGP 1000 e ISO 9001 obteniéndose la respectiva certificación.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El Plan Institucional de Gestión Ambiental, se ejecutó en un 100%, cumpliéndose con actividades importantes como: socialización del Plan Institucional de Respuesta a emergencia, Registro, peso, rotulado y almacenamiento del 100% de los RAEES y RESPEL, actualización del 100% de las fichas verdes, sensibilizaciones asociadas con el uso de transporte ambientalmente sostenible, la re-naturalización y disminución de huella de carbono y seguimiento al plan de acción para Jardines Verticales, entre otros.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lastRenderedPageBreak/>
        <w:t xml:space="preserve">Se realizaron sensibilizaciones sobre el Sistema Integrado de Gestión a servidores de la CPV, se concertó con la Oficina Asesora de Comunicaciones la elaboración de las primeras piezas comunicacionales para el SIG. Se llevaron a cabo jornadas de inducción a los nuevos funcionarios y sensibilizaciones sobre los siete subsistemas de gestión.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Se realizó la contratación para el arrendamiento de equipos tecnológicos y periféricos con destino a las diferentes dependencias, el mantenimiento preventivo y correctivo para los equipos de cómputo, servidores, impresoras y escáner, adquisición de equipos de cómputo e impresoras y el servicio de mantenimiento, soporte e instalación del suministro de repuestos para el cableado estructurado (voz y datos), energía normal y regulada. Se dio inicio a la implementación de la geo-referenciación a través del sistema ARCGIS para las Direcciones Misionales.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 xml:space="preserve">Se realizó la instalación de puestos y equipos de cómputo para todos los servidores públicos de la entidad, de conformidad con las necesidades inmediatas de cada una de sus áreas.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A través del Contrato No. 563 de Julio 16 de 2015, la entidad contrató la adquisición e instalación de mobiliario para dotar las diferentes oficinas de la CVP adquisición e instalación de mobiliario (Estantería rodante), para el almacenamiento de archivos de gestión de la entidad, inmobiliario de gran formato (Planotecas horizontales) y carros para transporte de la documentación de los fondos documentales del archivo central y de la Caja de la Vivienda Popular.</w:t>
      </w:r>
    </w:p>
    <w:p w:rsidR="00B52A9F" w:rsidRPr="00CC51E2" w:rsidRDefault="00B52A9F" w:rsidP="00B52A9F">
      <w:pPr>
        <w:pStyle w:val="Prrafodelista"/>
        <w:spacing w:after="0" w:line="240" w:lineRule="auto"/>
        <w:ind w:left="1440"/>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A través del contrato No. 004 de 2016, se gestionó el arrendamiento de la bodega ubicada en la calle 100 No. 60-04, para garantizar un espacio de almacenamiento para el Archivo Central de la entidad en las condiciones apropiadas de manejo y almacenamiento definidas por el Archivo de Bogotá.</w:t>
      </w:r>
    </w:p>
    <w:p w:rsidR="00B52A9F" w:rsidRPr="00CC51E2" w:rsidRDefault="00B52A9F" w:rsidP="00B52A9F">
      <w:pPr>
        <w:pStyle w:val="Prrafodelista"/>
        <w:rPr>
          <w:rFonts w:ascii="Arial" w:hAnsi="Arial" w:cs="Arial"/>
          <w:sz w:val="20"/>
          <w:szCs w:val="20"/>
        </w:rPr>
      </w:pP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3"/>
          <w:numId w:val="66"/>
        </w:numPr>
        <w:spacing w:after="0" w:line="240" w:lineRule="auto"/>
        <w:jc w:val="both"/>
        <w:rPr>
          <w:rFonts w:ascii="Arial" w:hAnsi="Arial" w:cs="Arial"/>
          <w:b/>
          <w:sz w:val="20"/>
          <w:szCs w:val="20"/>
        </w:rPr>
      </w:pPr>
      <w:r w:rsidRPr="00CC51E2">
        <w:rPr>
          <w:rFonts w:ascii="Arial" w:hAnsi="Arial" w:cs="Arial"/>
          <w:b/>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ind w:left="720"/>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Este proyecto se ejecuta con el apoyo de la Oficina Asesorad e Comunicaciones y el Proceso de Servicio al Ciudadano el avance en las metas registro un cumplimiento del 83,2% y una ejecución presupuestal del 100% a diciembre 31 de 2016, los principales logros obtenidos se resumen así:</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Se realizó el diagnóstico sobre el estado de la Política de Transparencia, Probidad y lucha contra la corrupción y se ejecutó el plan de acción programado en un 100%.</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Se fortalecieron los contenidos del Esquema de Publicaciones de la página Web.</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 xml:space="preserve">Se hizo seguimiento al Plan Anticorrupción en los componentes de rendición de cuentas y participación.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 xml:space="preserve">Se realizaron actividades para dar cumplimiento a la política de transparencia a partir de estrategias de divulgación de mensajes claves, acompañados del diseño de piezas audiovisuales, que fueron comunicadas a través de los canales de comunicación interna y externa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lastRenderedPageBreak/>
        <w:t>Se puso en marcha la estrategia de comunicación de Transparencia, para ello, se ampliaron los canales de comunicación, aprovechando las redes sociales de Facebook y Twitter.</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color w:val="000000"/>
          <w:sz w:val="20"/>
          <w:szCs w:val="20"/>
        </w:rPr>
        <w:t>Fueron implementadas estrategias de comunicación tales como: socializaciones del plan de desarrollo y procedimientos de comunicación interna, con lo anterior, se buscó mejorar los canales de comunicación entre los procesos y dinamizar su ejercicio.</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Se registró la información publicada sobre la gestión de la Caja de la Vivienda Popular, en medios de comunicación nacionales regionales y comunitarios.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 xml:space="preserve">Se desarrollaron estrategias digitales de comunicación interna, que fueron divulgadas por los canales oficiales como correo masivo CVP, Intranet y pantallas. Se destaca el Noticiero CVP de Octubre ver: https://www.youtube.com/watch?v=lLo23665Zkk.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 xml:space="preserve">Se culminó la ejecución de la estrategia de comunicación de Transparencia, se ampliaron los canales de comunicación, aprovechando las redes sociales de Facebook y Twitter. Así mismo, se divulgaron las acciones de comunicación a través de comunicados de prensa, y la difusión en otros medios de prensa escrito y de radio.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ind w:left="170"/>
        <w:textAlignment w:val="baseline"/>
        <w:rPr>
          <w:rFonts w:ascii="Arial" w:hAnsi="Arial" w:cs="Arial"/>
          <w:sz w:val="20"/>
          <w:szCs w:val="20"/>
        </w:rPr>
      </w:pPr>
      <w:bookmarkStart w:id="16" w:name="_Toc499134725"/>
      <w:bookmarkStart w:id="17" w:name="_Toc499145421"/>
      <w:r w:rsidRPr="00CC51E2">
        <w:rPr>
          <w:rFonts w:ascii="Arial" w:hAnsi="Arial" w:cs="Arial"/>
          <w:sz w:val="20"/>
          <w:szCs w:val="20"/>
        </w:rPr>
        <w:t>PROYECTOS DE INVERSIÓN PLAN DE DESARROLLO “BOGOTÁ MEJOR PARA TODOS”</w:t>
      </w:r>
      <w:bookmarkEnd w:id="16"/>
      <w:bookmarkEnd w:id="17"/>
    </w:p>
    <w:p w:rsidR="00B52A9F" w:rsidRPr="00CC51E2" w:rsidRDefault="00B52A9F" w:rsidP="00B52A9F">
      <w:pPr>
        <w:rPr>
          <w:rFonts w:ascii="Arial" w:hAnsi="Arial" w:cs="Arial"/>
          <w:sz w:val="20"/>
          <w:szCs w:val="20"/>
          <w:lang w:val="es-ES_tradnl" w:eastAsia="es-ES"/>
        </w:rPr>
      </w:pPr>
    </w:p>
    <w:p w:rsidR="00B52A9F" w:rsidRPr="00CC51E2" w:rsidRDefault="00B52A9F" w:rsidP="0057468E">
      <w:pPr>
        <w:pStyle w:val="Prrafodelista"/>
        <w:numPr>
          <w:ilvl w:val="3"/>
          <w:numId w:val="67"/>
        </w:numPr>
        <w:spacing w:after="0" w:line="240" w:lineRule="auto"/>
        <w:jc w:val="both"/>
        <w:rPr>
          <w:rFonts w:ascii="Arial" w:hAnsi="Arial" w:cs="Arial"/>
          <w:b/>
          <w:sz w:val="20"/>
          <w:szCs w:val="20"/>
        </w:rPr>
      </w:pPr>
      <w:bookmarkStart w:id="18" w:name="_Toc499134726"/>
      <w:r w:rsidRPr="00CC51E2">
        <w:rPr>
          <w:rFonts w:ascii="Arial" w:hAnsi="Arial" w:cs="Arial"/>
          <w:b/>
          <w:sz w:val="20"/>
          <w:szCs w:val="20"/>
        </w:rPr>
        <w:t>PROYECTO 404 FORTALECIMIENTO INSTITUCIONAL PARA AUMENTAR LA EFICIENCIA EN LA GESTIÓN</w:t>
      </w:r>
      <w:bookmarkEnd w:id="18"/>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La ejecución realizada entre julio y diciembre de 2016, teniendo en consideración las actividades establecidas, se cumplieron en un 100% y los recursos asignados se ejecutaron en un 97,12%</w:t>
      </w:r>
      <w:r w:rsidRPr="00CC51E2">
        <w:rPr>
          <w:rStyle w:val="Refdenotaalpie"/>
          <w:rFonts w:ascii="Arial" w:hAnsi="Arial" w:cs="Arial"/>
          <w:bCs/>
          <w:sz w:val="20"/>
          <w:szCs w:val="20"/>
        </w:rPr>
        <w:footnoteReference w:id="2"/>
      </w: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color w:val="000000"/>
          <w:sz w:val="20"/>
          <w:szCs w:val="20"/>
        </w:rPr>
        <w:t>En coordinación con la Subdirección Financiera, la Subdirección Administrativa y Oficina Asesora de Planeación, se han llevaron a cabo las siguientes actividades relevantes:</w:t>
      </w: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realizaron 18 talleres de socialización y capacitación de las tablas de retención documental y del Sistema Integrado de Conservación y Preservación –SICYP-.</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el saneamiento documental en el archivo centralizado de la Caja de la Vivienda Popular y el archivo central ubicado en la sede del siete de agosto.</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la programación, captación y análisis de los registros de humedad relativa y temperatura del archivo central y archivo de gestión centralizado y se ejecutó la primera jornada de capacitación en la Misional de Mejoramiento de Barrios.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adelantaron los procesos contractuales a fin de adquirir las unidades de almacenamiento y mobiliario.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identificaron riesgos en las instalaciones y se impusieron medidas preventivas para el control de desastres en los archivos de gestión y archivo central de la entidad, con el fin de gestionar y </w:t>
      </w:r>
      <w:r w:rsidRPr="00CC51E2">
        <w:rPr>
          <w:rFonts w:ascii="Arial" w:hAnsi="Arial" w:cs="Arial"/>
          <w:sz w:val="20"/>
          <w:szCs w:val="20"/>
        </w:rPr>
        <w:lastRenderedPageBreak/>
        <w:t>plantear planes de mejoramiento, particularmente en el archivo de gestión centralizado y las misionales de Mejoramiento de Barrios, Reasentamientos y Mejoramiento de Vivienda.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la revisión y ajustes de los procedimientos de Organización Documental y de Consulta y Préstamo de Documentos.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realizó el Diagnóstico Integral de Archivo, se identificó el material documental ubicado en el Archivo Central y se realizó la propuesta de tratamiento, identificando 25 unidades documentales con biodeterioro, la cual se sometió a revisión por la Coordinadora de Gestión Documental.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el marco del Programa de Monitoreo y control ambiental se realizaron monitoreos de humedad y temperatura del archivo central y archivo de gestión centralizado.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desarrollo del Programa de Producción y Manipulación se ejecutaron jornadas de capacitación en 7 dependencias y se diseñó la guía para la producción y manipulación documental, la cual se encuentra en proceso de revisión. De igual manera se realizó la entrega de elementos de protección personal en 10 dependencias y en el Archivo Central.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En ejecución del Programa de Inspección y mantenimiento de Instalaciones locativas de archivo, se adelantaron gestiones con la dependencia de servicios generales para la corrección de los daños encontrados en el archivo de gestión centralizado y en el archivo central, de los cuales se han realizado actividades de mejoramiento en el cambio de luces y en el problema de humedad proveniente de la terraza del edificio.</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realizaron los ajustes de las TRD solicitados por el Consejo Distrital de Archivos en el año 2015, alistando la información para ser enviada y obtener con ello la oficialización de la convalidación por el Consejo.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contrataron las reparaciones locativas requeridas en el edificio de la Caja de la Vivienda Popular, ubicado en la calle 54 No. 13-30, en la ciudad de Bogotá D.C. De igual manera, se concluyó la adecuación de los espacios físicos del área de sistemas, servicio al ciudadano, reasentamientos, titulaciones, vivienda, para mejorar las condiciones laborales de los servidores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adelantaron las fases de planeación, diagnóstico y ejecución del plan de acción para la implementación de las NICSP. El plan de acción programado para la vigencia fue del 80%, en razón a la ampliación del termino para la implementación, así las cosas, la culminación de la implementación se postergó para la vigencia 2017. </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realizaron capacitaciones a las diferentes áreas de gestión generadoras de información contable, sobre la Resolución 533 de 2015 e Instructivo 002 de 2015 expedidos por la Contaduría General de la Nación – CGN.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realizaron pruebas piloto con la información suministrada por las diferentes áreas de gestión, para establecer los impactos y posibles ajustes o modificaciones bajo Régimen Precedente de Contabilidad y se apoyó la estructuración de la base de datos oficial de los bienes inmuebles de la entidad, la cual permite evaluar las características de activo tanto para el Régimen Precedente de Contabilidad como para el Nuevo Marco Normativo Contable.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cumplimiento de la Resolución No. 1491 del 14 de octubre de 2014, por medio de la cual se establecen directrices para el saneamiento de los predios de propiedad de la Caja de la Vivienda </w:t>
      </w:r>
      <w:r w:rsidRPr="00CC51E2">
        <w:rPr>
          <w:rFonts w:ascii="Arial" w:hAnsi="Arial" w:cs="Arial"/>
          <w:sz w:val="20"/>
          <w:szCs w:val="20"/>
        </w:rPr>
        <w:lastRenderedPageBreak/>
        <w:t xml:space="preserve">Popular, se tipificaron las obligaciones con corte a noviembre y paz y salvos emitidos con el mismo corte. </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elaboraron los requerimientos de cobro, dirigidos a los deudores con antigüedad de la mora mayor a 90 días, por cualquier cuantía y que no atendieron el requerimiento de la Subdirección Financiera para acogerse a los beneficios derivados del Plan de Incentivos aprobado de conformidad con el Acuerdo 014 del 20-Dic-2011 del Consejo Directivo de la CVP y que no reestructuraron su obligación en el marco de dicha disposición, así como también los requerimientos de cobro dirigidos a los deudores con antigüedad de la mora mayor a 180 días y por cualquier cuantía y que si bien acogieron los beneficios derivados del Plan de Incentivos aprobado de conformidad con el Acuerdo 014 del 20-Dic-2011 del Consejo Directivo de la CVP volvieron a incurrir en la mora. </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consolidó el inventario de las obligaciones a favor de la entidad, en un documento que compilo la evolución de la cartera desde la finalización del periodo de aplicación del Acuerdo 014 del 20-Dic-2011 (Plan de Incentivos) hasta la tipificación con corte a 31-Mar-2016. En la tipificación de cartera se advierte los principales segmentos o grupos de interés de cartera y sus estadísticas, se describe cada una de las obligaciones de cartera con corte a 30-Nov-2016.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Se realizaron 9 jornadas de socialización de todos los subsistemas del Sistema Integrado de Gestión en las distintas dependencias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Se realizaron los seguimientos a las herramientas de gestión así:</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Normograma y servicios no conformes. Frecuencia Mensual.</w:t>
      </w: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Planes de acción, matriz de riesgos y diseño y desarrollo de los procesos. Frecuencia Trimestral.</w:t>
      </w: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Riesgos de corrupción. Frecuencia Cuatrimestral,</w:t>
      </w:r>
    </w:p>
    <w:p w:rsidR="00B52A9F" w:rsidRPr="00CC51E2" w:rsidRDefault="00B52A9F" w:rsidP="00B52A9F">
      <w:pPr>
        <w:spacing w:after="0" w:line="240" w:lineRule="auto"/>
        <w:ind w:left="1080"/>
        <w:jc w:val="both"/>
        <w:rPr>
          <w:rFonts w:ascii="Arial" w:hAnsi="Arial" w:cs="Arial"/>
          <w:sz w:val="20"/>
          <w:szCs w:val="20"/>
        </w:rPr>
      </w:pPr>
    </w:p>
    <w:p w:rsidR="00B52A9F" w:rsidRPr="00CC51E2" w:rsidRDefault="00B52A9F" w:rsidP="00B52A9F">
      <w:pPr>
        <w:spacing w:after="0" w:line="240" w:lineRule="auto"/>
        <w:ind w:left="1080"/>
        <w:jc w:val="both"/>
        <w:rPr>
          <w:rFonts w:ascii="Arial" w:hAnsi="Arial" w:cs="Arial"/>
          <w:sz w:val="20"/>
          <w:szCs w:val="20"/>
        </w:rPr>
      </w:pPr>
      <w:r w:rsidRPr="00CC51E2">
        <w:rPr>
          <w:rFonts w:ascii="Arial" w:hAnsi="Arial" w:cs="Arial"/>
          <w:sz w:val="20"/>
          <w:szCs w:val="20"/>
        </w:rPr>
        <w:t xml:space="preserve">Adicionalmente, se revisaron y actualizaron los documentos de cada uno de los procesos.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 xml:space="preserve">Se elaboró la Resolución No. 6915 de 2016, por medio de la cual se conformó el comité del Sistema Integrado de Gestión, conformándose los subcomités técnicos, para la implementación de los subsistemas de gestión.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 xml:space="preserve">Se coordinó con la Oficina Asesora de Planeación la realización de la auditoria de calidad orientada a obtener la certificación otorgada por el ICONTEC respecto de la norma </w:t>
      </w:r>
      <w:r w:rsidR="00E12BE9" w:rsidRPr="00CC51E2">
        <w:rPr>
          <w:rFonts w:ascii="Arial" w:hAnsi="Arial" w:cs="Arial"/>
          <w:sz w:val="20"/>
          <w:szCs w:val="20"/>
        </w:rPr>
        <w:t>NTC</w:t>
      </w:r>
      <w:r w:rsidRPr="00CC51E2">
        <w:rPr>
          <w:rFonts w:ascii="Arial" w:hAnsi="Arial" w:cs="Arial"/>
          <w:sz w:val="20"/>
          <w:szCs w:val="20"/>
        </w:rPr>
        <w:t>GP 1000</w:t>
      </w:r>
      <w:r w:rsidR="00E12BE9" w:rsidRPr="00CC51E2">
        <w:rPr>
          <w:rFonts w:ascii="Arial" w:hAnsi="Arial" w:cs="Arial"/>
          <w:sz w:val="20"/>
          <w:szCs w:val="20"/>
        </w:rPr>
        <w:t>:2009</w:t>
      </w:r>
      <w:r w:rsidRPr="00CC51E2">
        <w:rPr>
          <w:rFonts w:ascii="Arial" w:hAnsi="Arial" w:cs="Arial"/>
          <w:sz w:val="20"/>
          <w:szCs w:val="20"/>
        </w:rPr>
        <w:t xml:space="preserve"> </w:t>
      </w:r>
      <w:r w:rsidR="00E12BE9" w:rsidRPr="00CC51E2">
        <w:rPr>
          <w:rFonts w:ascii="Arial" w:hAnsi="Arial" w:cs="Arial"/>
          <w:sz w:val="20"/>
          <w:szCs w:val="20"/>
        </w:rPr>
        <w:t xml:space="preserve">e </w:t>
      </w:r>
      <w:r w:rsidRPr="00CC51E2">
        <w:rPr>
          <w:rFonts w:ascii="Arial" w:hAnsi="Arial" w:cs="Arial"/>
          <w:sz w:val="20"/>
          <w:szCs w:val="20"/>
        </w:rPr>
        <w:t xml:space="preserve">ISO </w:t>
      </w:r>
      <w:r w:rsidR="00E12BE9" w:rsidRPr="00CC51E2">
        <w:rPr>
          <w:rFonts w:ascii="Arial" w:hAnsi="Arial" w:cs="Arial"/>
          <w:sz w:val="20"/>
          <w:szCs w:val="20"/>
        </w:rPr>
        <w:t>9</w:t>
      </w:r>
      <w:r w:rsidRPr="00CC51E2">
        <w:rPr>
          <w:rFonts w:ascii="Arial" w:hAnsi="Arial" w:cs="Arial"/>
          <w:sz w:val="20"/>
          <w:szCs w:val="20"/>
        </w:rPr>
        <w:t>001:2008.</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3"/>
          <w:numId w:val="67"/>
        </w:numPr>
        <w:spacing w:after="0" w:line="240" w:lineRule="auto"/>
        <w:jc w:val="both"/>
        <w:rPr>
          <w:rFonts w:ascii="Arial" w:hAnsi="Arial" w:cs="Arial"/>
          <w:b/>
          <w:sz w:val="20"/>
          <w:szCs w:val="20"/>
        </w:rPr>
      </w:pPr>
      <w:bookmarkStart w:id="19" w:name="_Toc499134727"/>
      <w:r w:rsidRPr="00CC51E2">
        <w:rPr>
          <w:rFonts w:ascii="Arial" w:hAnsi="Arial" w:cs="Arial"/>
          <w:b/>
          <w:sz w:val="20"/>
          <w:szCs w:val="20"/>
        </w:rPr>
        <w:t>PROYECTO 943 FORTALECIMIENTO INSTITUCIONAL PARA LA TRANSPARENCIA, PARTICIPACIÓN CIUDADANA, CONTROL Y RESPONSABILIDAD SOCIAL Y ANTICORRUPCIÓN</w:t>
      </w:r>
      <w:bookmarkEnd w:id="19"/>
    </w:p>
    <w:p w:rsidR="00B52A9F" w:rsidRPr="00CC51E2" w:rsidRDefault="00B52A9F" w:rsidP="00B52A9F">
      <w:pPr>
        <w:spacing w:line="240" w:lineRule="auto"/>
        <w:jc w:val="both"/>
        <w:rPr>
          <w:rFonts w:ascii="Arial" w:hAnsi="Arial" w:cs="Arial"/>
          <w:b/>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La ejecución del proyecto entre julio hasta el 31 de diciembre de 2016, relacionada con las actividades establecidas, se cumplieron en un 100% y los recursos asignados se ejecutaron en un 97,41%</w:t>
      </w:r>
      <w:r w:rsidRPr="00CC51E2">
        <w:rPr>
          <w:rStyle w:val="Refdenotaalpie"/>
          <w:rFonts w:ascii="Arial" w:hAnsi="Arial" w:cs="Arial"/>
          <w:bCs/>
          <w:sz w:val="20"/>
          <w:szCs w:val="20"/>
        </w:rPr>
        <w:footnoteReference w:id="3"/>
      </w:r>
      <w:r w:rsidRPr="00CC51E2">
        <w:rPr>
          <w:rFonts w:ascii="Arial" w:hAnsi="Arial" w:cs="Arial"/>
          <w:bCs/>
          <w:sz w:val="20"/>
          <w:szCs w:val="20"/>
        </w:rPr>
        <w:t>.</w:t>
      </w: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color w:val="000000"/>
          <w:sz w:val="20"/>
          <w:szCs w:val="20"/>
        </w:rPr>
        <w:lastRenderedPageBreak/>
        <w:t>En coordinación con la Oficina Asesora de Comunicaciones y el Proceso de Servicio al Ciudadano, se llevaron a cabo las siguientes actividades relevantes:</w:t>
      </w: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llevó a cabo la Socialización del Plan de Desarrollo de Bogotá Mejor para Todos. </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fortalecieron las acciones de comunicación organizacional a través de contenido audiovisual en los temas misionales, financieros, de tesorería y los prioritarios y transversales al Distrito como movilidad sostenible en el Día del No Carro para Funcionarios.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actualizaron los avisos de campañas de sensibilización "Motores Humanos” relacionadas con la salud en el trabajo, publicándose en las carteleras digitales, pantallas y correo masivos.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realizó un concurso denominado Tómate Bogotá, participa en 'Muestra Tu Casa' concurso de fotografía para celebrar 478 años de la Capital, se abrió la convocatoria para incentivar la participación y así generar conciencia sobre la Capital, no sólo como nuestro lugar de residencia o trabajo sino como patrimonio de todos. Los ganadores recibieron un reconocimiento y un premio especial, por su interés en la promoción de la ciudad en su 478 aniversario.</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realizaron eventos de participación ciudadana, como el denominado Foro de Inicio "Por una vivienda saludable" allí se socializó el tipo de subsidio asignado, el proceso, los equipos sociales y técnicos que realizan supervisión y se presentó el oferente y el supervisor. Adicionalmente, el Director de Mejoramiento explicó las modalidades del subsidio y tipología de mejoramiento de obras. Al evento asistieron más de 200 personas de Usme.</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Adicionalmente, se publicó en la página web de la Caja de la Vivienda Popular, y en sus redes sociales un Boletín de Prensa, sobre el impacto de estos eventos y se contó con la amplificación de medios de comunicación.  En Facebook, se publicaron 15 temas Distritales y 14 piezas gráficas sobre temas prioritarios de la CVP tales como, la socialización del trabajo de la CVP con los alcaldes locales la cual se realizó el 26 de Julio. Se publicaron 4 galerías de fotos sobre encuentros de participación ciudadana de las misionales CVP.</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brindó apoyo a los equipos sociales y a los directores técnicos de las misionales, con el fin de apoyar la organización de eventos y conocer sus necesidades en temas de comunicación, para avanzar en estrategias externas de comunicación.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divulgó la información actualizada de los eventos de las misionales en la página web, redes sociales, intranet y monitores internos de la entidad. Boletines de prensa, piezas gráficas y videos publicados en los diferentes medios internos y externos de la entidad.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acompañó el encuentro entre la Dirección de Reasentamientos y la comunidad de Los Laches, entrega del salón comunal Villa Diana, Minuto CVP 8 -12 de agosto, Visita a la comunidad de Palmitas en Kennedy.</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desarrollaron estrategias digitales de comunicación interna, que fueron divulgadas por los canales oficiales como correo masivo CVP, Intranet y pantallas. Entre los temas destacados se encuentran: gestión pública de programas misionales, promoviendo política de transparencia en programas, metas, logros y avances de la gestión de la CVP, salud ocupacional, cultura cero papel y día sin carro.  Destacamos la realización audiovisual del </w:t>
      </w:r>
      <w:r w:rsidRPr="00CC51E2">
        <w:rPr>
          <w:rStyle w:val="Hipervnculo"/>
          <w:rFonts w:ascii="Arial" w:hAnsi="Arial" w:cs="Arial"/>
          <w:color w:val="000000"/>
          <w:sz w:val="20"/>
          <w:szCs w:val="20"/>
          <w:u w:val="none"/>
          <w:shd w:val="clear" w:color="auto" w:fill="FFFFFF"/>
        </w:rPr>
        <w:lastRenderedPageBreak/>
        <w:t xml:space="preserve">minuto de noticias CVP, se trata de un resumen de noticias destacadas de la semana en formato de video que se divulga a través de la Intranet, y monitores ubicados en los pasillos CVP y al canal oficial de la CVP en la red social de YouTube. </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realizaron audiencias de participación con la ciudadanía, vale la pena destacar: desarrolló de un foro de inicio en Ciudad Bolívar, para informarle a la comunidad sobre el Programa de Mejoramiento de Vivienda, espacio ciudadano donde asistieron más de 300 personas y otro espacio en Ciudad Bolívar, en donde se hizo entrega a 250 familias de Ciudad Bolívar y Usme, de los títulos de propiedad de su vivienda. En este periodo contamos con un aumento en la audiencia e interacción ciudadana en Facebook y Twitter.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elaboraron textos informativos, documentos, piezas comunicativas, informes, para los distintos públicos de interés de la CVP, en todos sus canales de comunicación de conformidad con la Estrategia de Comunicaciones. Se realizaron notas de prensa sobre eventos de las misionales: Habitantes de Usaquén estrenan escaleras y calles (Entrega de tramos viales en Usaquén), Más de 450 millones de pesos para la construcción de andenes (Entrega de obra en Rafael Uribe), 10 años de espera han terminado para habitantes de la Localidad Rafael Uribe (Entrega de obra en Rafael Uribe), Acompañamiento integral a las familias durante todo el proceso": Juan Pablo Tovar (Curso Latinoamericano de Reasentamiento Involuntario).</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El 17 y 23 de diciembre, se concertaron espacios de interlocución con la ciudadanía de Ciudad Bolívar, para la entrega de 650 títulos y 109 viviendas. En estos encuentros se presentó un informe de gestión de la Dirección de Urbanizaciones y Titulación y el 23 de diciembre se presentaron ante la comunidad participante, los informes de gestión de 2016 de las cuatro misionales de la CVP.  Se diseñó y entregó 1000 plegables informativos de las misionales a la ciudadanía que asistió al evento del 23 de diciembre de 2016.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2"/>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realizó reunión del Comité GEL coordinando acciones transversales de la entidad que actualizarán las acciones del Plan de Acción. Se hizo seguimiento a la solicitud de información para actualizar "Esquema de Publicaciones CVP" con base en la Ley 1712 de 2014 y Resolución 3564 de 2015 a través de memorando y se tuvo una recepción de información del 90%. La CVP se integró a la Mesa Distrital de Gobierno en Línea y hace parte del equipo Gobierno Abierto del Sector Hábitat.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3"/>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hizo seguimiento a la solicitud de información para actualizar "Esquema de Publicaciones CVP" con base en la Ley1712 de 2014 y Resolución 3564 de 2015 a través de memorando y se tuvo una recepción de información del 90%.</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3"/>
        </w:numPr>
        <w:spacing w:after="0" w:line="240" w:lineRule="auto"/>
        <w:jc w:val="both"/>
        <w:rPr>
          <w:rFonts w:ascii="Arial" w:hAnsi="Arial" w:cs="Arial"/>
          <w:color w:val="000000"/>
          <w:sz w:val="20"/>
          <w:szCs w:val="20"/>
          <w:shd w:val="clear" w:color="auto" w:fill="FFFFFF"/>
        </w:rPr>
      </w:pPr>
      <w:r w:rsidRPr="00CC51E2">
        <w:rPr>
          <w:rFonts w:ascii="Arial" w:hAnsi="Arial" w:cs="Arial"/>
          <w:sz w:val="20"/>
          <w:szCs w:val="20"/>
        </w:rPr>
        <w:t>Se implementó el lenguaje de señas en los eventos de la entrega de titulación a ciudadanos de la localidad de USME y en la entrega de calles de los barrios de la localidad Ciudad Bolívar y en la entrega de los proyectos de Arborizadora carrera 38 y Candelaria La Nueva, Ciudad Bolívar. Las profesionales contratadas (2) para el efecto, realizaran acompañamiento en los primeros meses del año a todas las actividades que adelantará la CVP.</w:t>
      </w:r>
    </w:p>
    <w:p w:rsidR="00CC51E2" w:rsidRDefault="00CC51E2">
      <w:pPr>
        <w:spacing w:after="0" w:line="240" w:lineRule="auto"/>
        <w:rPr>
          <w:rFonts w:ascii="Arial" w:hAnsi="Arial" w:cs="Arial"/>
          <w:sz w:val="20"/>
          <w:szCs w:val="20"/>
        </w:rPr>
      </w:pPr>
      <w:r>
        <w:rPr>
          <w:rFonts w:ascii="Arial" w:hAnsi="Arial" w:cs="Arial"/>
          <w:sz w:val="20"/>
          <w:szCs w:val="20"/>
        </w:rPr>
        <w:br w:type="page"/>
      </w:r>
    </w:p>
    <w:p w:rsidR="00B52A9F" w:rsidRPr="00CC51E2" w:rsidRDefault="00B52A9F" w:rsidP="00B52A9F">
      <w:pPr>
        <w:pStyle w:val="Prrafodelista"/>
        <w:spacing w:line="240" w:lineRule="auto"/>
        <w:rPr>
          <w:rFonts w:ascii="Arial" w:hAnsi="Arial" w:cs="Arial"/>
          <w:sz w:val="20"/>
          <w:szCs w:val="20"/>
        </w:rPr>
      </w:pPr>
    </w:p>
    <w:p w:rsidR="00B52A9F" w:rsidRPr="00CC51E2" w:rsidRDefault="00B52A9F" w:rsidP="0057468E">
      <w:pPr>
        <w:pStyle w:val="Prrafodelista"/>
        <w:numPr>
          <w:ilvl w:val="3"/>
          <w:numId w:val="67"/>
        </w:numPr>
        <w:spacing w:after="0" w:line="240" w:lineRule="auto"/>
        <w:jc w:val="both"/>
        <w:rPr>
          <w:rFonts w:ascii="Arial" w:hAnsi="Arial" w:cs="Arial"/>
          <w:b/>
          <w:sz w:val="20"/>
          <w:szCs w:val="20"/>
        </w:rPr>
      </w:pPr>
      <w:bookmarkStart w:id="20" w:name="_Toc499134728"/>
      <w:r w:rsidRPr="00CC51E2">
        <w:rPr>
          <w:rFonts w:ascii="Arial" w:hAnsi="Arial" w:cs="Arial"/>
          <w:b/>
          <w:sz w:val="20"/>
          <w:szCs w:val="20"/>
        </w:rPr>
        <w:t>PROYECTO 1174 FORTALECIMIENTO DE LAS TECNOLOGÍAS DE INFORMACIÓN Y COMUNICACIÓN.</w:t>
      </w:r>
      <w:bookmarkEnd w:id="20"/>
    </w:p>
    <w:p w:rsidR="00CC51E2" w:rsidRDefault="00CC51E2" w:rsidP="00B52A9F">
      <w:pPr>
        <w:spacing w:line="240" w:lineRule="auto"/>
        <w:jc w:val="both"/>
        <w:rPr>
          <w:rFonts w:ascii="Arial" w:hAnsi="Arial" w:cs="Arial"/>
          <w:bCs/>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Este proyecto entre julio y 31 de diciembre de 2016, presentó un cumplimiento del 84% y los recursos asignados se ejecutaron en un 99,87%</w:t>
      </w:r>
      <w:r w:rsidRPr="00CC51E2">
        <w:rPr>
          <w:rStyle w:val="Refdenotaalpie"/>
          <w:rFonts w:ascii="Arial" w:hAnsi="Arial" w:cs="Arial"/>
          <w:bCs/>
          <w:sz w:val="20"/>
          <w:szCs w:val="20"/>
        </w:rPr>
        <w:footnoteReference w:id="4"/>
      </w: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color w:val="000000"/>
          <w:sz w:val="20"/>
          <w:szCs w:val="20"/>
        </w:rPr>
        <w:t>En coordinación con la Oficina Tics, se llevaron a cabo las siguientes actividades relevantes:</w:t>
      </w:r>
    </w:p>
    <w:p w:rsidR="00B52A9F" w:rsidRPr="00CC51E2" w:rsidRDefault="00B52A9F" w:rsidP="0057468E">
      <w:pPr>
        <w:pStyle w:val="Prrafodelista"/>
        <w:numPr>
          <w:ilvl w:val="0"/>
          <w:numId w:val="44"/>
        </w:numPr>
        <w:spacing w:after="0" w:line="240" w:lineRule="auto"/>
        <w:jc w:val="both"/>
        <w:rPr>
          <w:rFonts w:ascii="Arial" w:hAnsi="Arial" w:cs="Arial"/>
          <w:sz w:val="20"/>
          <w:szCs w:val="20"/>
          <w:lang w:val="es-ES"/>
        </w:rPr>
      </w:pPr>
      <w:r w:rsidRPr="00CC51E2">
        <w:rPr>
          <w:rFonts w:ascii="Arial" w:hAnsi="Arial" w:cs="Arial"/>
          <w:sz w:val="20"/>
          <w:szCs w:val="20"/>
          <w:lang w:val="es-ES"/>
        </w:rPr>
        <w:t>Se aplicaron restricciones de navegación en la configuración de políticas del Firewall. Acorde a las legalizaciones de la paz y salvos para funcionarios y contratistas, se deshabilitaron los accesos al computador, inhabilitado el acceso al correo electrónico institucional, a las bases de datos donde se tenían permisos asignados.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4"/>
        </w:numPr>
        <w:spacing w:after="0" w:line="240" w:lineRule="auto"/>
        <w:jc w:val="both"/>
        <w:rPr>
          <w:rFonts w:ascii="Arial" w:hAnsi="Arial" w:cs="Arial"/>
          <w:sz w:val="20"/>
          <w:szCs w:val="20"/>
          <w:lang w:val="es-ES"/>
        </w:rPr>
      </w:pPr>
      <w:r w:rsidRPr="00CC51E2">
        <w:rPr>
          <w:rFonts w:ascii="Arial" w:hAnsi="Arial" w:cs="Arial"/>
          <w:sz w:val="20"/>
          <w:szCs w:val="20"/>
          <w:lang w:val="es-ES"/>
        </w:rPr>
        <w:t>Se ajustó el documento autodiagnóstico para análisis de vulnerabilidades.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Se realizaron los ajustes correspondientes con la Dirección Jurídica al aplicativo SISCO, PREDIS y el módulo de dispositivos a favor de terceros.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Para PERNO, se realiza ajuste a los formatos de Resolución de Liquidación Final, para que desde el sistema se expidan módulos de almacén, se revisan para ajustar la depreciación de elementos en uso.</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Para el módulo de SISCO se ajustaron los formatos de Minuta de Contrato y Estudios Previos, para el registro y legalización de contratos. Se ajustaron el formato de Certificación contratos suscritos, selección de contratistas, contratación directa y solicitud de elaboración de contratos. Se ajustaron el formato de Certificación de cumplimiento unificando la proforma y la certificación de cumplimiento. Se hace seguimiento de la unificación de la proforma y certificación de cumplimiento, lo cual se encuentra en producción y es requisito para realizar el pago a contratistas de prestación de servicios. Para los módulos SAI/SAE. se realizó el ajuste para la baja de bienes de elementos. </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Se ajusta la liquidación de la planta Especial -trabajadores oficiales- en el sistema PERNO y se empiezan a generar las Resoluciones por este Sistema.</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Se ajustó y adoptó la Política de Seguridad de la Información el 5 de agosto de 2016, fecha en la que fue aprobada por parte del Comité del Subsistema de Gestión de Seguridad de la Información. El 12 de septiembre se expide la Resolución No. 4664 de 2016, por medio de la cual se adoptó ésta por parte de la entidad. Además de ello se adelantaron las gestiones pertinentes a fin de que se adoptara también dentro del sistema de gestión de calidad.</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Los días 24 y 25 de octubre se adelantó la socialización a todas las áreas de las políticas de seguridad adoptadas mediante Resolución 4664 de 2016. A partir de las Políticas de Seguridad, adoptadas y divulgadas, se afina la configuración del Firewall para habilitar y/o restringir el acceso a páginas web, se continúa con la asignación y deshabilitación de usuarios por vinculación o desvinculación de la entidad.</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Implementar una solución de registro y seguimiento para soporte a usuarios. Se implementa el software libre GLPI, Piloto en Área de Sistemas.</w:t>
      </w:r>
    </w:p>
    <w:p w:rsidR="00B52A9F" w:rsidRPr="00CC51E2" w:rsidRDefault="00B52A9F" w:rsidP="00B52A9F">
      <w:pPr>
        <w:pStyle w:val="Prrafodelista"/>
        <w:rPr>
          <w:rFonts w:ascii="Arial" w:hAnsi="Arial" w:cs="Arial"/>
          <w:color w:val="222222"/>
          <w:sz w:val="20"/>
          <w:szCs w:val="20"/>
          <w:shd w:val="clear" w:color="auto" w:fill="FFFF00"/>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Con relación a la gestión del Software de gestión de Tickets de soporte para usuarios e inventario de equipos, este software se implementó en ambiente de producción en el mes de diciembre del 2016. Este software facilita la forma en que el usuario solicita el soporte técnico, pues solo se requiere enviar un mail y éste genera un ticket, asignando un número para que el usuario entre en lista de espera para ser atendido. Dentro de sus funcionalidades, permite clasificar el tipo de soporte, los usuarios con mayor demanda, generar reportes de tiempo de respuesta y cuenta con un ciclo especial para hacer el reparto de la atención, de acuerdo a las funciones que realiza el grupo.</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Realizar el seguimiento al módulo de ENCAJA que fue entregado al proceso de servicio al ciudadano. Se cumplió la meta, se realizó el seguimiento al registro de la información verificando presencialmente en el módulo ENCAJA, el registro de información que hace el proceso, cuando atiendo directamente la ciudadanía.</w:t>
      </w: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621073">
      <w:pPr>
        <w:pStyle w:val="Ttulo1"/>
        <w:widowControl/>
        <w:numPr>
          <w:ilvl w:val="0"/>
          <w:numId w:val="19"/>
        </w:numPr>
        <w:suppressAutoHyphens w:val="0"/>
        <w:overflowPunct w:val="0"/>
        <w:autoSpaceDE w:val="0"/>
        <w:autoSpaceDN w:val="0"/>
        <w:adjustRightInd w:val="0"/>
        <w:spacing w:line="360" w:lineRule="auto"/>
        <w:jc w:val="center"/>
        <w:textAlignment w:val="baseline"/>
        <w:rPr>
          <w:rFonts w:ascii="Arial" w:hAnsi="Arial" w:cs="Arial"/>
          <w:color w:val="000000" w:themeColor="text1"/>
          <w:sz w:val="20"/>
          <w:szCs w:val="20"/>
        </w:rPr>
      </w:pPr>
      <w:r w:rsidRPr="00CC51E2">
        <w:rPr>
          <w:rFonts w:ascii="Arial" w:hAnsi="Arial" w:cs="Arial"/>
          <w:color w:val="000000" w:themeColor="text1"/>
          <w:sz w:val="20"/>
          <w:szCs w:val="20"/>
        </w:rPr>
        <w:t>SITUACIÓN DE LOS RECURSOS FINANCIEROS</w:t>
      </w:r>
    </w:p>
    <w:p w:rsidR="00B52A9F" w:rsidRPr="00CC51E2" w:rsidRDefault="00B52A9F" w:rsidP="00B52A9F">
      <w:pPr>
        <w:spacing w:after="0" w:line="240" w:lineRule="auto"/>
        <w:jc w:val="both"/>
        <w:rPr>
          <w:rFonts w:ascii="Arial" w:hAnsi="Arial" w:cs="Arial"/>
          <w:b/>
          <w:sz w:val="20"/>
          <w:szCs w:val="20"/>
          <w:lang w:val="es-ES"/>
        </w:rPr>
      </w:pPr>
    </w:p>
    <w:p w:rsidR="00B52A9F" w:rsidRPr="00CC51E2" w:rsidRDefault="00B52A9F" w:rsidP="00B52A9F">
      <w:pPr>
        <w:pStyle w:val="Ttulo1"/>
        <w:ind w:left="170"/>
        <w:rPr>
          <w:rFonts w:ascii="Arial" w:hAnsi="Arial" w:cs="Arial"/>
          <w:sz w:val="20"/>
          <w:szCs w:val="20"/>
          <w:lang w:val="es-ES"/>
        </w:rPr>
      </w:pPr>
      <w:r w:rsidRPr="00CC51E2">
        <w:rPr>
          <w:rFonts w:ascii="Arial" w:hAnsi="Arial" w:cs="Arial"/>
          <w:sz w:val="20"/>
          <w:szCs w:val="20"/>
          <w:lang w:val="es-ES"/>
        </w:rPr>
        <w:t xml:space="preserve">2.1. </w:t>
      </w:r>
      <w:bookmarkStart w:id="21" w:name="_Toc499145061"/>
      <w:bookmarkStart w:id="22" w:name="_Toc499145422"/>
      <w:r w:rsidRPr="00CC51E2">
        <w:rPr>
          <w:rFonts w:ascii="Arial" w:hAnsi="Arial" w:cs="Arial"/>
          <w:sz w:val="20"/>
          <w:szCs w:val="20"/>
          <w:lang w:val="es-ES"/>
        </w:rPr>
        <w:t>RECURSOS FINANCIEROS VIGENCIA 2016:</w:t>
      </w:r>
      <w:bookmarkEnd w:id="21"/>
      <w:bookmarkEnd w:id="22"/>
    </w:p>
    <w:p w:rsidR="00B52A9F" w:rsidRPr="00CC51E2" w:rsidRDefault="00B52A9F" w:rsidP="0057468E">
      <w:pPr>
        <w:pStyle w:val="Encabezado"/>
        <w:numPr>
          <w:ilvl w:val="2"/>
          <w:numId w:val="50"/>
        </w:numPr>
        <w:tabs>
          <w:tab w:val="clear" w:pos="4419"/>
          <w:tab w:val="clear" w:pos="8838"/>
          <w:tab w:val="center" w:pos="851"/>
          <w:tab w:val="right" w:pos="8504"/>
        </w:tabs>
        <w:overflowPunct w:val="0"/>
        <w:autoSpaceDE w:val="0"/>
        <w:autoSpaceDN w:val="0"/>
        <w:adjustRightInd w:val="0"/>
        <w:textAlignment w:val="baseline"/>
        <w:rPr>
          <w:rFonts w:ascii="Arial" w:hAnsi="Arial" w:cs="Arial"/>
          <w:b/>
          <w:sz w:val="20"/>
          <w:szCs w:val="20"/>
          <w:lang w:val="es-MX"/>
        </w:rPr>
      </w:pPr>
      <w:r w:rsidRPr="00CC51E2">
        <w:rPr>
          <w:rFonts w:ascii="Arial" w:hAnsi="Arial" w:cs="Arial"/>
          <w:b/>
          <w:sz w:val="20"/>
          <w:szCs w:val="20"/>
          <w:lang w:val="es-MX"/>
        </w:rPr>
        <w:t xml:space="preserve">INGRESOS </w:t>
      </w:r>
    </w:p>
    <w:p w:rsidR="00B52A9F" w:rsidRPr="00CC51E2" w:rsidRDefault="00B52A9F" w:rsidP="00B52A9F">
      <w:pPr>
        <w:pStyle w:val="Encabezado"/>
        <w:tabs>
          <w:tab w:val="clear" w:pos="4419"/>
          <w:tab w:val="clear" w:pos="8838"/>
          <w:tab w:val="center" w:pos="851"/>
          <w:tab w:val="right" w:pos="8504"/>
        </w:tabs>
        <w:overflowPunct w:val="0"/>
        <w:autoSpaceDE w:val="0"/>
        <w:autoSpaceDN w:val="0"/>
        <w:adjustRightInd w:val="0"/>
        <w:textAlignment w:val="baseline"/>
        <w:rPr>
          <w:rFonts w:ascii="Arial" w:hAnsi="Arial" w:cs="Arial"/>
          <w:b/>
          <w:sz w:val="20"/>
          <w:szCs w:val="20"/>
          <w:lang w:val="es-MX"/>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 xml:space="preserve">Mediante Decreto N° 533 del 15 de diciembre de 2015, expedido por el Alcalde Mayor de Bogotá, se asignó a la Caja de la Vivienda Popular un presupuesto de $88.703.8 millones para la vigencia 2016. De este total, el 90.4% ($80.150.2 millones) está constituido por aportes de la Administración Central, mientras que los $8.553.6 millones restantes corresponden a recursos propios (ingresos corrientes y recursos de capital) y equivalen al 9.6% del total del presupuesto asignado, en la siguiente gráfica se detalla el comportamiento: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pStyle w:val="Descripcin"/>
        <w:spacing w:after="0"/>
        <w:jc w:val="center"/>
        <w:rPr>
          <w:rFonts w:ascii="Arial" w:hAnsi="Arial" w:cs="Arial"/>
          <w:noProof/>
          <w:color w:val="auto"/>
          <w:sz w:val="20"/>
          <w:szCs w:val="20"/>
        </w:rPr>
      </w:pPr>
      <w:bookmarkStart w:id="23" w:name="_Toc499197829"/>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noProof/>
          <w:color w:val="auto"/>
          <w:sz w:val="20"/>
          <w:szCs w:val="20"/>
        </w:rPr>
        <w:t>Comparativo de Recaudos a diciembre de 2015 y 2016</w:t>
      </w:r>
      <w:bookmarkEnd w:id="23"/>
    </w:p>
    <w:p w:rsidR="00B52A9F" w:rsidRPr="00CC51E2" w:rsidRDefault="00B52A9F" w:rsidP="00B52A9F">
      <w:pPr>
        <w:spacing w:after="0" w:line="240" w:lineRule="auto"/>
        <w:jc w:val="center"/>
        <w:rPr>
          <w:rFonts w:ascii="Arial" w:hAnsi="Arial" w:cs="Arial"/>
          <w:b/>
          <w:sz w:val="20"/>
          <w:szCs w:val="20"/>
        </w:rPr>
      </w:pPr>
      <w:r w:rsidRPr="00CC51E2">
        <w:rPr>
          <w:rFonts w:ascii="Arial" w:hAnsi="Arial" w:cs="Arial"/>
          <w:b/>
          <w:sz w:val="20"/>
          <w:szCs w:val="20"/>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noProof/>
          <w:sz w:val="20"/>
          <w:szCs w:val="20"/>
          <w:lang w:val="es-ES" w:eastAsia="es-ES"/>
        </w:rPr>
        <w:drawing>
          <wp:inline distT="0" distB="0" distL="0" distR="0" wp14:anchorId="6DF9BBD7" wp14:editId="20A81B2C">
            <wp:extent cx="5362023" cy="20193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74582" cy="202403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spacing w:after="0" w:line="240" w:lineRule="auto"/>
        <w:jc w:val="center"/>
        <w:rPr>
          <w:rFonts w:ascii="Arial" w:eastAsia="Times New Roman" w:hAnsi="Arial" w:cs="Arial"/>
          <w:b/>
          <w:color w:val="000000"/>
          <w:sz w:val="20"/>
          <w:szCs w:val="20"/>
          <w:lang w:eastAsia="es-CO"/>
        </w:rPr>
      </w:pPr>
    </w:p>
    <w:p w:rsidR="00B52A9F" w:rsidRDefault="00B52A9F" w:rsidP="00B52A9F">
      <w:pPr>
        <w:spacing w:after="0" w:line="240" w:lineRule="auto"/>
        <w:jc w:val="center"/>
        <w:rPr>
          <w:rFonts w:ascii="Arial" w:eastAsia="Times New Roman" w:hAnsi="Arial" w:cs="Arial"/>
          <w:b/>
          <w:color w:val="000000"/>
          <w:sz w:val="20"/>
          <w:szCs w:val="20"/>
          <w:lang w:eastAsia="es-CO"/>
        </w:rPr>
      </w:pPr>
    </w:p>
    <w:p w:rsidR="00CC51E2" w:rsidRDefault="00CC51E2" w:rsidP="00B52A9F">
      <w:pPr>
        <w:spacing w:after="0" w:line="240" w:lineRule="auto"/>
        <w:jc w:val="center"/>
        <w:rPr>
          <w:rFonts w:ascii="Arial" w:eastAsia="Times New Roman" w:hAnsi="Arial" w:cs="Arial"/>
          <w:b/>
          <w:color w:val="000000"/>
          <w:sz w:val="20"/>
          <w:szCs w:val="20"/>
          <w:lang w:eastAsia="es-CO"/>
        </w:rPr>
      </w:pPr>
    </w:p>
    <w:p w:rsidR="00CC51E2" w:rsidRDefault="00CC51E2" w:rsidP="00B52A9F">
      <w:pPr>
        <w:spacing w:after="0" w:line="240" w:lineRule="auto"/>
        <w:jc w:val="center"/>
        <w:rPr>
          <w:rFonts w:ascii="Arial" w:eastAsia="Times New Roman" w:hAnsi="Arial" w:cs="Arial"/>
          <w:b/>
          <w:color w:val="000000"/>
          <w:sz w:val="20"/>
          <w:szCs w:val="20"/>
          <w:lang w:eastAsia="es-CO"/>
        </w:rPr>
      </w:pPr>
    </w:p>
    <w:p w:rsidR="00CC51E2" w:rsidRPr="00CC51E2" w:rsidRDefault="00CC51E2" w:rsidP="00B52A9F">
      <w:pPr>
        <w:spacing w:after="0" w:line="240" w:lineRule="auto"/>
        <w:jc w:val="center"/>
        <w:rPr>
          <w:rFonts w:ascii="Arial" w:eastAsia="Times New Roman" w:hAnsi="Arial" w:cs="Arial"/>
          <w:b/>
          <w:color w:val="000000"/>
          <w:sz w:val="20"/>
          <w:szCs w:val="20"/>
          <w:lang w:eastAsia="es-CO"/>
        </w:rPr>
      </w:pPr>
    </w:p>
    <w:p w:rsidR="00B52A9F" w:rsidRPr="00CC51E2" w:rsidRDefault="00B52A9F" w:rsidP="00B52A9F">
      <w:pPr>
        <w:pStyle w:val="Descripcin"/>
        <w:spacing w:after="0"/>
        <w:jc w:val="center"/>
        <w:rPr>
          <w:rFonts w:ascii="Arial" w:eastAsia="Times New Roman" w:hAnsi="Arial" w:cs="Arial"/>
          <w:b w:val="0"/>
          <w:color w:val="auto"/>
          <w:sz w:val="20"/>
          <w:szCs w:val="20"/>
          <w:lang w:eastAsia="es-CO"/>
        </w:rPr>
      </w:pPr>
      <w:bookmarkStart w:id="24" w:name="_Toc499197846"/>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w:t>
      </w:r>
      <w:r w:rsidRPr="00CC51E2">
        <w:rPr>
          <w:rFonts w:ascii="Arial" w:hAnsi="Arial" w:cs="Arial"/>
          <w:color w:val="auto"/>
          <w:sz w:val="20"/>
          <w:szCs w:val="20"/>
        </w:rPr>
        <w:fldChar w:fldCharType="end"/>
      </w:r>
      <w:r w:rsidRPr="00CC51E2">
        <w:rPr>
          <w:rFonts w:ascii="Arial" w:hAnsi="Arial" w:cs="Arial"/>
          <w:noProof/>
          <w:color w:val="auto"/>
          <w:sz w:val="20"/>
          <w:szCs w:val="20"/>
        </w:rPr>
        <w:t xml:space="preserve"> - Comportamiento de los Ingresos a diciembre de 2015 y 2016</w:t>
      </w:r>
      <w:bookmarkEnd w:id="24"/>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 xml:space="preserve"> (Millones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hAnsi="Arial" w:cs="Arial"/>
          <w:noProof/>
          <w:sz w:val="20"/>
          <w:szCs w:val="20"/>
          <w:lang w:val="es-ES" w:eastAsia="es-ES"/>
        </w:rPr>
        <w:drawing>
          <wp:inline distT="0" distB="0" distL="0" distR="0" wp14:anchorId="6C272865" wp14:editId="35459A7C">
            <wp:extent cx="5610225" cy="9715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0225" cy="9715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de información: Informes de Ejecución Presupuestal 2015-2016</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cuarto </w:t>
      </w:r>
      <w:r w:rsidRPr="00CC51E2">
        <w:rPr>
          <w:rFonts w:ascii="Arial" w:eastAsia="Times New Roman" w:hAnsi="Arial" w:cs="Arial"/>
          <w:sz w:val="20"/>
          <w:szCs w:val="20"/>
          <w:lang w:val="es-ES_tradnl" w:eastAsia="es-ES"/>
        </w:rPr>
        <w:t>trimestre de la vigencia, l</w:t>
      </w:r>
      <w:r w:rsidRPr="00CC51E2">
        <w:rPr>
          <w:rFonts w:ascii="Arial" w:eastAsia="Times New Roman" w:hAnsi="Arial" w:cs="Arial"/>
          <w:iCs/>
          <w:sz w:val="20"/>
          <w:szCs w:val="20"/>
        </w:rPr>
        <w:t>a ejecución de ingresos acumulada alcanza la cifra de    $43.931,2 millones que corresponde al 49.5% de la apropiación anual, con participación del 99,9% para los Ingresos Corrientes ($ 905.1 millones), 76,6% para los Recursos de Capital ($ 5.857,4 millones) y 46.4% para las transferencias recibidas de la Administración Central ($ 37.168,8 millones), en la siguiente gráfica se detalla el comportamiento.</w:t>
      </w:r>
    </w:p>
    <w:p w:rsidR="00621073" w:rsidRPr="00CC51E2" w:rsidRDefault="00621073"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pStyle w:val="Descripcin"/>
        <w:spacing w:after="0"/>
        <w:jc w:val="center"/>
        <w:rPr>
          <w:rFonts w:ascii="Arial" w:eastAsia="Times New Roman" w:hAnsi="Arial" w:cs="Arial"/>
          <w:color w:val="auto"/>
          <w:sz w:val="20"/>
          <w:szCs w:val="20"/>
          <w:lang w:val="es-MX" w:eastAsia="es-ES"/>
        </w:rPr>
      </w:pPr>
      <w:bookmarkStart w:id="25" w:name="_Toc499197830"/>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2</w:t>
      </w:r>
      <w:r w:rsidRPr="00CC51E2">
        <w:rPr>
          <w:rFonts w:ascii="Arial" w:hAnsi="Arial" w:cs="Arial"/>
          <w:color w:val="auto"/>
          <w:sz w:val="20"/>
          <w:szCs w:val="20"/>
        </w:rPr>
        <w:fldChar w:fldCharType="end"/>
      </w:r>
      <w:r w:rsidRPr="00CC51E2">
        <w:rPr>
          <w:rFonts w:ascii="Arial" w:hAnsi="Arial" w:cs="Arial"/>
          <w:noProof/>
          <w:color w:val="auto"/>
          <w:sz w:val="20"/>
          <w:szCs w:val="20"/>
        </w:rPr>
        <w:t xml:space="preserve"> - Ejecución de Ingresos a diciembre de 2016</w:t>
      </w:r>
      <w:bookmarkEnd w:id="25"/>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eastAsia="Times New Roman" w:hAnsi="Arial" w:cs="Arial"/>
          <w:b/>
          <w:sz w:val="20"/>
          <w:szCs w:val="20"/>
          <w:lang w:val="es-MX" w:eastAsia="es-ES"/>
        </w:rPr>
        <w:t xml:space="preserve"> (Millones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noProof/>
          <w:sz w:val="20"/>
          <w:szCs w:val="20"/>
          <w:lang w:val="es-ES" w:eastAsia="es-ES"/>
        </w:rPr>
        <w:drawing>
          <wp:inline distT="0" distB="0" distL="0" distR="0" wp14:anchorId="4A44612F" wp14:editId="3C51359F">
            <wp:extent cx="5972175" cy="3295650"/>
            <wp:effectExtent l="0" t="0" r="0" b="0"/>
            <wp:docPr id="83" name="Gráfico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Fuente de información: Informes de Ejecución Presupuestal 2016 – Subdirección Financiera</w:t>
      </w: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b/>
          <w:iCs/>
          <w:sz w:val="20"/>
          <w:szCs w:val="20"/>
        </w:rPr>
      </w:pPr>
    </w:p>
    <w:p w:rsidR="00B52A9F" w:rsidRPr="00CC51E2" w:rsidRDefault="00B52A9F" w:rsidP="0057468E">
      <w:pPr>
        <w:pStyle w:val="Prrafodelista"/>
        <w:numPr>
          <w:ilvl w:val="2"/>
          <w:numId w:val="50"/>
        </w:numPr>
        <w:spacing w:after="0"/>
        <w:rPr>
          <w:rFonts w:ascii="Arial" w:hAnsi="Arial" w:cs="Arial"/>
          <w:b/>
          <w:sz w:val="20"/>
          <w:szCs w:val="20"/>
          <w:lang w:val="es-MX"/>
        </w:rPr>
      </w:pPr>
      <w:r w:rsidRPr="00CC51E2">
        <w:rPr>
          <w:rFonts w:ascii="Arial" w:hAnsi="Arial" w:cs="Arial"/>
          <w:b/>
          <w:sz w:val="20"/>
          <w:szCs w:val="20"/>
          <w:lang w:val="es-MX"/>
        </w:rPr>
        <w:t>GASTOS</w:t>
      </w:r>
    </w:p>
    <w:p w:rsidR="00B52A9F" w:rsidRPr="00CC51E2" w:rsidRDefault="00B52A9F" w:rsidP="00B52A9F">
      <w:pPr>
        <w:spacing w:after="0"/>
        <w:rPr>
          <w:rFonts w:ascii="Arial" w:hAnsi="Arial" w:cs="Arial"/>
          <w:b/>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eastAsia="Times New Roman" w:hAnsi="Arial" w:cs="Arial"/>
          <w:iCs/>
          <w:sz w:val="20"/>
          <w:szCs w:val="20"/>
        </w:rPr>
        <w:t>El mismo Decreto N° 533 del 15 de diciembre de 2015 estableció que el presupuesto inicial de la Caja de la Vivienda Popular para 2016 estaría compuesto en un 11.4% ($10.048.0 millones) por los Gastos de Funcionamiento y en un 88.6% ($78.553.3 millones) por los Gastos de Inversión.</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sz w:val="20"/>
          <w:szCs w:val="20"/>
          <w:lang w:val="es-MX"/>
        </w:rPr>
        <w:lastRenderedPageBreak/>
        <w:t>Al cierre de la vigencia 2016 se comprometieron recursos por valor de $79.733,2 millones, con lo cual el índice de ejecución se sitúa en el 90,0%.  Esto significa una disminución del 31,9% con respecto al mismo mes de 2015, en la que no solamente incide la considerable reducción en el total de las apropiaciones presupuestales, sino también la desaceleración en la ejecución de la inversión directa mientras culminaba el proceso de armonización entre los planes de desarrollo “Bogotá Humana” y “Bogotá mejor para todos”.</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pStyle w:val="Descripcin"/>
        <w:spacing w:after="0"/>
        <w:jc w:val="center"/>
        <w:rPr>
          <w:rFonts w:ascii="Arial" w:hAnsi="Arial" w:cs="Arial"/>
          <w:b w:val="0"/>
          <w:color w:val="auto"/>
          <w:sz w:val="20"/>
          <w:szCs w:val="20"/>
          <w:lang w:val="es-MX"/>
        </w:rPr>
      </w:pPr>
      <w:bookmarkStart w:id="26" w:name="_Toc499197831"/>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 w:val="0"/>
          <w:color w:val="auto"/>
          <w:sz w:val="20"/>
          <w:szCs w:val="20"/>
          <w:lang w:val="es-MX"/>
        </w:rPr>
        <w:t>Ejecución de Gastos a diciembre 31 de 2015 y 2016</w:t>
      </w:r>
      <w:bookmarkEnd w:id="26"/>
    </w:p>
    <w:p w:rsidR="00B52A9F" w:rsidRPr="00CC51E2" w:rsidRDefault="00B52A9F" w:rsidP="00B52A9F">
      <w:pPr>
        <w:keepNext/>
        <w:spacing w:after="0" w:line="240" w:lineRule="auto"/>
        <w:jc w:val="center"/>
        <w:rPr>
          <w:rFonts w:ascii="Arial" w:hAnsi="Arial" w:cs="Arial"/>
          <w:b/>
          <w:sz w:val="20"/>
          <w:szCs w:val="20"/>
          <w:lang w:val="es-MX"/>
        </w:rPr>
      </w:pPr>
      <w:r w:rsidRPr="00CC51E2">
        <w:rPr>
          <w:rFonts w:ascii="Arial" w:hAnsi="Arial" w:cs="Arial"/>
          <w:b/>
          <w:sz w:val="20"/>
          <w:szCs w:val="20"/>
          <w:lang w:val="es-MX"/>
        </w:rPr>
        <w:t>(millones de $)</w:t>
      </w:r>
    </w:p>
    <w:p w:rsidR="00B52A9F" w:rsidRPr="00CC51E2" w:rsidRDefault="00B52A9F" w:rsidP="00B52A9F">
      <w:pPr>
        <w:spacing w:after="0"/>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1282DDAC" wp14:editId="417EB8D8">
            <wp:extent cx="5648325" cy="3714750"/>
            <wp:effectExtent l="0" t="0" r="0" b="0"/>
            <wp:docPr id="84" name="Gráfico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pStyle w:val="Descripcin"/>
        <w:keepNext/>
        <w:spacing w:after="0"/>
        <w:jc w:val="center"/>
        <w:rPr>
          <w:rFonts w:ascii="Arial" w:hAnsi="Arial" w:cs="Arial"/>
          <w:color w:val="auto"/>
          <w:sz w:val="20"/>
          <w:szCs w:val="20"/>
        </w:rPr>
      </w:pPr>
      <w:bookmarkStart w:id="27" w:name="_Toc499197847"/>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2</w:t>
      </w:r>
      <w:r w:rsidRPr="00CC51E2">
        <w:rPr>
          <w:rFonts w:ascii="Arial" w:hAnsi="Arial" w:cs="Arial"/>
          <w:color w:val="auto"/>
          <w:sz w:val="20"/>
          <w:szCs w:val="20"/>
        </w:rPr>
        <w:fldChar w:fldCharType="end"/>
      </w:r>
      <w:r w:rsidRPr="00CC51E2">
        <w:rPr>
          <w:rFonts w:ascii="Arial" w:hAnsi="Arial" w:cs="Arial"/>
          <w:color w:val="auto"/>
          <w:sz w:val="20"/>
          <w:szCs w:val="20"/>
        </w:rPr>
        <w:t xml:space="preserve">- </w:t>
      </w:r>
      <w:r w:rsidRPr="00CC51E2">
        <w:rPr>
          <w:rFonts w:ascii="Arial" w:hAnsi="Arial" w:cs="Arial"/>
          <w:color w:val="auto"/>
          <w:sz w:val="20"/>
          <w:szCs w:val="20"/>
          <w:lang w:val="es-MX"/>
        </w:rPr>
        <w:t>Comportamiento de Gastos a diciembre 31 de 2015 y 2016</w:t>
      </w:r>
      <w:bookmarkEnd w:id="27"/>
    </w:p>
    <w:p w:rsidR="00B52A9F" w:rsidRPr="00CC51E2" w:rsidRDefault="00B52A9F" w:rsidP="00B52A9F">
      <w:pPr>
        <w:pStyle w:val="Encabezado"/>
        <w:jc w:val="center"/>
        <w:rPr>
          <w:rFonts w:ascii="Arial" w:hAnsi="Arial" w:cs="Arial"/>
          <w:sz w:val="20"/>
          <w:szCs w:val="20"/>
          <w:lang w:val="es-MX"/>
        </w:rPr>
      </w:pPr>
      <w:r w:rsidRPr="00CC51E2">
        <w:rPr>
          <w:rFonts w:ascii="Arial" w:hAnsi="Arial" w:cs="Arial"/>
          <w:sz w:val="20"/>
          <w:szCs w:val="20"/>
          <w:lang w:val="es-MX"/>
        </w:rPr>
        <w:t>(Millones de $)</w:t>
      </w:r>
    </w:p>
    <w:p w:rsidR="00B52A9F" w:rsidRPr="00CC51E2" w:rsidRDefault="00B52A9F" w:rsidP="00B52A9F">
      <w:pPr>
        <w:pStyle w:val="Encabezado"/>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35861A80" wp14:editId="74B366C8">
            <wp:extent cx="5105400" cy="10096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05400" cy="10096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sectPr w:rsidR="00B52A9F" w:rsidRPr="00CC51E2" w:rsidSect="00FB40A1">
          <w:footerReference w:type="default" r:id="rId153"/>
          <w:pgSz w:w="12240" w:h="15840" w:code="1"/>
          <w:pgMar w:top="748" w:right="1134" w:bottom="1559" w:left="1701" w:header="709" w:footer="614" w:gutter="0"/>
          <w:cols w:space="708"/>
          <w:docGrid w:linePitch="360"/>
        </w:sectPr>
      </w:pP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p>
    <w:p w:rsidR="00B52A9F" w:rsidRPr="00CC51E2" w:rsidRDefault="00B52A9F" w:rsidP="0057468E">
      <w:pPr>
        <w:pStyle w:val="Prrafodelista"/>
        <w:numPr>
          <w:ilvl w:val="3"/>
          <w:numId w:val="50"/>
        </w:numPr>
        <w:spacing w:after="0" w:line="240" w:lineRule="auto"/>
        <w:rPr>
          <w:rFonts w:ascii="Arial" w:hAnsi="Arial" w:cs="Arial"/>
          <w:sz w:val="20"/>
          <w:szCs w:val="20"/>
          <w:lang w:val="es-MX"/>
        </w:rPr>
      </w:pPr>
      <w:r w:rsidRPr="00CC51E2">
        <w:rPr>
          <w:rFonts w:ascii="Arial" w:hAnsi="Arial" w:cs="Arial"/>
          <w:b/>
          <w:sz w:val="20"/>
          <w:szCs w:val="20"/>
          <w:lang w:val="es-MX"/>
        </w:rPr>
        <w:t xml:space="preserve">Gastos de Inversión </w:t>
      </w:r>
    </w:p>
    <w:p w:rsidR="00B52A9F" w:rsidRPr="00CC51E2" w:rsidRDefault="00B52A9F" w:rsidP="00B52A9F">
      <w:pPr>
        <w:pStyle w:val="Prrafodelista"/>
        <w:spacing w:after="0" w:line="240" w:lineRule="auto"/>
        <w:ind w:left="1080"/>
        <w:rPr>
          <w:rFonts w:ascii="Arial" w:hAnsi="Arial" w:cs="Arial"/>
          <w:b/>
          <w:sz w:val="20"/>
          <w:szCs w:val="20"/>
          <w:lang w:val="es-MX"/>
        </w:rPr>
      </w:pPr>
    </w:p>
    <w:p w:rsidR="00B52A9F" w:rsidRPr="00CC51E2" w:rsidRDefault="00B52A9F" w:rsidP="00B52A9F">
      <w:pPr>
        <w:pStyle w:val="Descripcin"/>
        <w:keepNext/>
        <w:spacing w:after="0"/>
        <w:jc w:val="center"/>
        <w:rPr>
          <w:rFonts w:ascii="Arial" w:hAnsi="Arial" w:cs="Arial"/>
          <w:color w:val="auto"/>
          <w:sz w:val="20"/>
          <w:szCs w:val="20"/>
          <w:lang w:val="es-MX"/>
        </w:rPr>
      </w:pPr>
      <w:bookmarkStart w:id="28" w:name="_Toc499197848"/>
      <w:bookmarkStart w:id="29" w:name="_Toc499194717"/>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presupuestal de Gastos de Inversión – 2016 (millones de $)</w:t>
      </w:r>
      <w:bookmarkEnd w:id="28"/>
    </w:p>
    <w:p w:rsidR="00B52A9F" w:rsidRPr="00CC51E2" w:rsidRDefault="00B52A9F" w:rsidP="00B52A9F">
      <w:pPr>
        <w:pStyle w:val="Descripcin"/>
        <w:keepNext/>
        <w:jc w:val="center"/>
        <w:rPr>
          <w:rFonts w:ascii="Arial" w:hAnsi="Arial" w:cs="Arial"/>
          <w:sz w:val="20"/>
          <w:szCs w:val="20"/>
          <w:lang w:val="es-MX"/>
        </w:rPr>
      </w:pPr>
      <w:r w:rsidRPr="00CC51E2">
        <w:rPr>
          <w:rFonts w:ascii="Arial" w:hAnsi="Arial" w:cs="Arial"/>
          <w:noProof/>
          <w:sz w:val="20"/>
          <w:szCs w:val="20"/>
          <w:lang w:val="es-ES" w:eastAsia="es-ES"/>
        </w:rPr>
        <w:drawing>
          <wp:inline distT="0" distB="0" distL="0" distR="0" wp14:anchorId="217AEF09" wp14:editId="0430E0CC">
            <wp:extent cx="4772025" cy="42195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72025" cy="4219575"/>
                    </a:xfrm>
                    <a:prstGeom prst="rect">
                      <a:avLst/>
                    </a:prstGeom>
                    <a:noFill/>
                    <a:ln>
                      <a:noFill/>
                    </a:ln>
                  </pic:spPr>
                </pic:pic>
              </a:graphicData>
            </a:graphic>
          </wp:inline>
        </w:drawing>
      </w:r>
      <w:bookmarkEnd w:id="29"/>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de información: Informe de Ejecución Presupuestal de Inversión – diciembre 2016 - </w:t>
      </w:r>
      <w:r w:rsidRPr="00CC51E2">
        <w:rPr>
          <w:rFonts w:ascii="Arial" w:eastAsia="Times New Roman" w:hAnsi="Arial" w:cs="Arial"/>
          <w:color w:val="000000"/>
          <w:sz w:val="20"/>
          <w:szCs w:val="20"/>
          <w:lang w:eastAsia="es-CO"/>
        </w:rPr>
        <w:t>Subdirección Financiera</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57468E">
      <w:pPr>
        <w:pStyle w:val="Prrafodelista"/>
        <w:numPr>
          <w:ilvl w:val="2"/>
          <w:numId w:val="50"/>
        </w:numPr>
        <w:jc w:val="both"/>
        <w:rPr>
          <w:rFonts w:ascii="Arial" w:hAnsi="Arial" w:cs="Arial"/>
          <w:b/>
          <w:sz w:val="20"/>
          <w:szCs w:val="20"/>
        </w:rPr>
      </w:pPr>
      <w:r w:rsidRPr="00CC51E2">
        <w:rPr>
          <w:rFonts w:ascii="Arial" w:hAnsi="Arial" w:cs="Arial"/>
          <w:b/>
          <w:sz w:val="20"/>
          <w:szCs w:val="20"/>
        </w:rPr>
        <w:t>EJECUCIÓN DE RESERVAS PRESUPUESTALES</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Con corte a diciembre 31 el monto definitivo de las reservas de la Caja asciende a $39.151.7 millones, distribuidos en un 1.0% ($370.8 millones) para gastos de funcionamiento y un 99.0% ($38.781.0 millones) para inversión. De los cuales se realizaron giros del 74.7%, quedando un saldo por girar del 25,3% constituidos para la siguiente vigencia como Pasivos Exigibles.</w:t>
      </w: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pStyle w:val="Descripcin"/>
        <w:keepNext/>
        <w:spacing w:after="0"/>
        <w:jc w:val="center"/>
        <w:rPr>
          <w:rFonts w:ascii="Arial" w:hAnsi="Arial" w:cs="Arial"/>
          <w:color w:val="auto"/>
          <w:sz w:val="20"/>
          <w:szCs w:val="20"/>
        </w:rPr>
      </w:pPr>
      <w:bookmarkStart w:id="30" w:name="_Toc499197849"/>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4</w:t>
      </w:r>
      <w:r w:rsidRPr="00CC51E2">
        <w:rPr>
          <w:rFonts w:ascii="Arial" w:hAnsi="Arial" w:cs="Arial"/>
          <w:color w:val="auto"/>
          <w:sz w:val="20"/>
          <w:szCs w:val="20"/>
        </w:rPr>
        <w:fldChar w:fldCharType="end"/>
      </w:r>
      <w:r w:rsidRPr="00CC51E2">
        <w:rPr>
          <w:rFonts w:ascii="Arial" w:hAnsi="Arial" w:cs="Arial"/>
          <w:color w:val="auto"/>
          <w:sz w:val="20"/>
          <w:szCs w:val="20"/>
        </w:rPr>
        <w:t xml:space="preserve"> - Ejecución de reservas presupuestales a diciembre 31 de 2016</w:t>
      </w:r>
      <w:bookmarkEnd w:id="30"/>
    </w:p>
    <w:p w:rsidR="00B52A9F" w:rsidRPr="00CC51E2" w:rsidRDefault="00B52A9F" w:rsidP="00B52A9F">
      <w:pPr>
        <w:spacing w:after="0" w:line="240" w:lineRule="auto"/>
        <w:jc w:val="center"/>
        <w:rPr>
          <w:rFonts w:ascii="Arial" w:hAnsi="Arial" w:cs="Arial"/>
          <w:sz w:val="20"/>
          <w:szCs w:val="20"/>
        </w:rPr>
      </w:pPr>
      <w:r w:rsidRPr="00CC51E2">
        <w:rPr>
          <w:rFonts w:ascii="Arial" w:hAnsi="Arial" w:cs="Arial"/>
          <w:sz w:val="20"/>
          <w:szCs w:val="20"/>
        </w:rPr>
        <w:t>(millones de $)</w:t>
      </w:r>
    </w:p>
    <w:p w:rsidR="00B52A9F" w:rsidRPr="00CC51E2" w:rsidRDefault="00B52A9F" w:rsidP="00B52A9F">
      <w:pPr>
        <w:spacing w:after="0"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622CB23F" wp14:editId="67BF074E">
            <wp:extent cx="5133975" cy="407670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33975" cy="407670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de información: Informe de Ejecución Presupuestal de Reservas – diciembre 2016 -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1"/>
          <w:numId w:val="50"/>
        </w:numPr>
        <w:spacing w:after="0" w:line="240" w:lineRule="auto"/>
        <w:jc w:val="both"/>
        <w:outlineLvl w:val="0"/>
        <w:rPr>
          <w:rFonts w:ascii="Arial" w:hAnsi="Arial" w:cs="Arial"/>
          <w:b/>
          <w:sz w:val="20"/>
          <w:szCs w:val="20"/>
          <w:lang w:val="es-ES"/>
        </w:rPr>
      </w:pPr>
      <w:bookmarkStart w:id="31" w:name="_Toc499145063"/>
      <w:bookmarkStart w:id="32" w:name="_Toc499145424"/>
      <w:r w:rsidRPr="00CC51E2">
        <w:rPr>
          <w:rFonts w:ascii="Arial" w:hAnsi="Arial" w:cs="Arial"/>
          <w:b/>
          <w:sz w:val="20"/>
          <w:szCs w:val="20"/>
          <w:lang w:val="es-ES"/>
        </w:rPr>
        <w:t>RECURSOS FINANCIEROS VIGENCIA 2017</w:t>
      </w:r>
      <w:bookmarkEnd w:id="31"/>
      <w:bookmarkEnd w:id="32"/>
    </w:p>
    <w:p w:rsidR="00B52A9F" w:rsidRPr="00CC51E2" w:rsidRDefault="00B52A9F" w:rsidP="00B52A9F">
      <w:pPr>
        <w:pStyle w:val="Prrafodelista"/>
        <w:spacing w:after="0" w:line="240" w:lineRule="auto"/>
        <w:jc w:val="both"/>
        <w:rPr>
          <w:rFonts w:ascii="Arial" w:hAnsi="Arial" w:cs="Arial"/>
          <w:b/>
          <w:sz w:val="20"/>
          <w:szCs w:val="20"/>
          <w:lang w:val="es-ES"/>
        </w:rPr>
      </w:pPr>
    </w:p>
    <w:p w:rsidR="00B52A9F" w:rsidRPr="00CC51E2" w:rsidRDefault="00B52A9F" w:rsidP="0057468E">
      <w:pPr>
        <w:pStyle w:val="Prrafodelista"/>
        <w:keepNext/>
        <w:numPr>
          <w:ilvl w:val="2"/>
          <w:numId w:val="50"/>
        </w:numPr>
        <w:overflowPunct w:val="0"/>
        <w:autoSpaceDE w:val="0"/>
        <w:autoSpaceDN w:val="0"/>
        <w:adjustRightInd w:val="0"/>
        <w:spacing w:before="240" w:after="60" w:line="360" w:lineRule="auto"/>
        <w:jc w:val="both"/>
        <w:textAlignment w:val="baseline"/>
        <w:outlineLvl w:val="3"/>
        <w:rPr>
          <w:rFonts w:ascii="Arial" w:eastAsia="Times New Roman" w:hAnsi="Arial" w:cs="Arial"/>
          <w:b/>
          <w:bCs/>
          <w:sz w:val="20"/>
          <w:szCs w:val="20"/>
          <w:lang w:val="es-ES_tradnl" w:eastAsia="es-ES"/>
        </w:rPr>
      </w:pPr>
      <w:r w:rsidRPr="00CC51E2">
        <w:rPr>
          <w:rFonts w:ascii="Arial" w:eastAsia="Times New Roman" w:hAnsi="Arial" w:cs="Arial"/>
          <w:b/>
          <w:bCs/>
          <w:sz w:val="20"/>
          <w:szCs w:val="20"/>
          <w:lang w:val="es-ES_tradnl" w:eastAsia="es-ES"/>
        </w:rPr>
        <w:t>INGRESOS</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 xml:space="preserve">Mediante Decreto N° 627 del 26 de diciembre de 2016, expedido por el Alcalde Mayor de Bogotá, se asignó a la Caja de la Vivienda Popular un presupuesto de $78.651,8 millones para la vigencia 2017. De este total, el 89,6% ($70.444,8 millones) está constituido por aportes de la Administración Central, mientras que los $ 8.206,9 millones restantes corresponden a recursos propios (ingresos corrientes y recursos de capital) y equivalen al 10,4% del total del presupuesto asignado.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 xml:space="preserve">El presupuesto de ingresos con corte a 31 de octubre de 2017 se incrementó en un 17,7% con respecto al presupuesto inicial, producto de recursos recibidos para el convenio Interadministrativo suscrito entre la Secretaria Distrital de Hábitat (SDHT) y la Caja de la Vivienda Popular (CVP) por valor de $ 910,2 millones, recursos para el convenio Interadministrativo de cooperación suscrito entre Instituto Distrital de Gestión de Riesgos y Cambio Climático – IDIGER) y la Caja de la Vivienda Popular (CVP) por valor de $989,0 millones y por último, una transferencia de la administración central por valor de $15.000 millones mediante Acuerdo 681 del 5 de julio de 2017.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Teniendo en cuenta lo anterior, la apropiación de Rentas e Ingresos (ingresos corrientes y recursos de capital) acumulada para la vigencia 2017 es de $ 10.106,2 millones que equivalen al 12,5% del total del presupuesto, lo que aumenta el presupuesto en un 15,4 % con respecto al presupuesto de la vigencia 2016.</w:t>
      </w:r>
    </w:p>
    <w:p w:rsidR="00B52A9F" w:rsidRPr="00CC51E2" w:rsidRDefault="00B52A9F" w:rsidP="00B52A9F">
      <w:pPr>
        <w:pStyle w:val="Descripcin"/>
        <w:jc w:val="center"/>
        <w:rPr>
          <w:rFonts w:ascii="Arial" w:hAnsi="Arial" w:cs="Arial"/>
          <w:sz w:val="20"/>
          <w:szCs w:val="20"/>
        </w:rPr>
      </w:pPr>
    </w:p>
    <w:p w:rsidR="00B52A9F" w:rsidRPr="00CC51E2" w:rsidRDefault="00B52A9F" w:rsidP="00B52A9F">
      <w:pPr>
        <w:pStyle w:val="Descripcin"/>
        <w:spacing w:after="0"/>
        <w:jc w:val="center"/>
        <w:rPr>
          <w:rFonts w:ascii="Arial" w:hAnsi="Arial" w:cs="Arial"/>
          <w:color w:val="auto"/>
          <w:sz w:val="20"/>
          <w:szCs w:val="20"/>
        </w:rPr>
      </w:pPr>
      <w:bookmarkStart w:id="33" w:name="_Toc499197832"/>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eastAsia="Times New Roman" w:hAnsi="Arial" w:cs="Arial"/>
          <w:color w:val="auto"/>
          <w:sz w:val="20"/>
          <w:szCs w:val="20"/>
          <w:lang w:val="es-MX" w:eastAsia="es-ES"/>
        </w:rPr>
        <w:t>Comparativo de Recaudos a septiembre de 2016 y 2017</w:t>
      </w:r>
      <w:bookmarkEnd w:id="33"/>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noProof/>
          <w:sz w:val="20"/>
          <w:szCs w:val="20"/>
          <w:lang w:val="es-ES" w:eastAsia="es-ES"/>
        </w:rPr>
        <w:drawing>
          <wp:inline distT="0" distB="0" distL="0" distR="0" wp14:anchorId="2688352C" wp14:editId="526C99CC">
            <wp:extent cx="5543550" cy="1895475"/>
            <wp:effectExtent l="0" t="0" r="0"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53075" cy="1898732"/>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2016-2017 - Subdirección Financiera</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color w:val="000000"/>
          <w:sz w:val="20"/>
          <w:szCs w:val="20"/>
          <w:lang w:eastAsia="es-CO"/>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color w:val="000000"/>
          <w:sz w:val="20"/>
          <w:szCs w:val="20"/>
          <w:lang w:eastAsia="es-CO"/>
        </w:rPr>
      </w:pPr>
    </w:p>
    <w:p w:rsidR="00B52A9F" w:rsidRPr="00CC51E2" w:rsidRDefault="00B52A9F" w:rsidP="00B52A9F">
      <w:pPr>
        <w:pStyle w:val="Descripcin"/>
        <w:keepNext/>
        <w:spacing w:after="0"/>
        <w:jc w:val="center"/>
        <w:rPr>
          <w:rFonts w:ascii="Arial" w:eastAsia="Times New Roman" w:hAnsi="Arial" w:cs="Arial"/>
          <w:b w:val="0"/>
          <w:color w:val="auto"/>
          <w:sz w:val="20"/>
          <w:szCs w:val="20"/>
          <w:lang w:eastAsia="es-CO"/>
        </w:rPr>
      </w:pPr>
      <w:bookmarkStart w:id="34" w:name="_Toc499194720"/>
      <w:bookmarkStart w:id="35" w:name="_Toc499197850"/>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eastAsia="Times New Roman" w:hAnsi="Arial" w:cs="Arial"/>
          <w:b w:val="0"/>
          <w:color w:val="auto"/>
          <w:sz w:val="20"/>
          <w:szCs w:val="20"/>
          <w:lang w:eastAsia="es-CO"/>
        </w:rPr>
        <w:t xml:space="preserve">Comportamiento de los Ingresos a </w:t>
      </w:r>
      <w:r w:rsidRPr="00CC51E2">
        <w:rPr>
          <w:rFonts w:ascii="Arial" w:eastAsia="Times New Roman" w:hAnsi="Arial" w:cs="Arial"/>
          <w:b w:val="0"/>
          <w:color w:val="auto"/>
          <w:sz w:val="20"/>
          <w:szCs w:val="20"/>
          <w:lang w:val="es-MX" w:eastAsia="es-ES"/>
        </w:rPr>
        <w:t xml:space="preserve">octubre </w:t>
      </w:r>
      <w:r w:rsidRPr="00CC51E2">
        <w:rPr>
          <w:rFonts w:ascii="Arial" w:eastAsia="Times New Roman" w:hAnsi="Arial" w:cs="Arial"/>
          <w:b w:val="0"/>
          <w:color w:val="auto"/>
          <w:sz w:val="20"/>
          <w:szCs w:val="20"/>
          <w:lang w:val="es-MX" w:eastAsia="es-CO"/>
        </w:rPr>
        <w:t>de 2016 y 2017</w:t>
      </w:r>
      <w:bookmarkEnd w:id="34"/>
      <w:bookmarkEnd w:id="35"/>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eastAsia="Times New Roman" w:hAnsi="Arial" w:cs="Arial"/>
          <w:b/>
          <w:sz w:val="20"/>
          <w:szCs w:val="20"/>
          <w:lang w:val="es-MX" w:eastAsia="es-ES"/>
        </w:rPr>
        <w:t>(Millones de $)</w:t>
      </w:r>
    </w:p>
    <w:tbl>
      <w:tblPr>
        <w:tblW w:w="9340" w:type="dxa"/>
        <w:tblInd w:w="55" w:type="dxa"/>
        <w:tblCellMar>
          <w:left w:w="70" w:type="dxa"/>
          <w:right w:w="70" w:type="dxa"/>
        </w:tblCellMar>
        <w:tblLook w:val="04A0" w:firstRow="1" w:lastRow="0" w:firstColumn="1" w:lastColumn="0" w:noHBand="0" w:noVBand="1"/>
      </w:tblPr>
      <w:tblGrid>
        <w:gridCol w:w="1985"/>
        <w:gridCol w:w="1652"/>
        <w:gridCol w:w="1463"/>
        <w:gridCol w:w="1422"/>
        <w:gridCol w:w="1357"/>
        <w:gridCol w:w="1461"/>
      </w:tblGrid>
      <w:tr w:rsidR="00B52A9F" w:rsidRPr="00CC51E2" w:rsidTr="00FB40A1">
        <w:trPr>
          <w:trHeight w:val="480"/>
        </w:trPr>
        <w:tc>
          <w:tcPr>
            <w:tcW w:w="166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CONCEPTO</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PRESUPUESTO A OCT 2017</w:t>
            </w:r>
          </w:p>
        </w:tc>
        <w:tc>
          <w:tcPr>
            <w:tcW w:w="162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RECAUDO A OCTUBRE 2017</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48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DE EJECUCION</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4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RECAUDO A OCTUBRE 2016</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VARIACIÓN ANUAL %</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CORRIENTES</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2.559,2</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2.667,1</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104,2%</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807,0</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230,5%</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TRANSFERENCIAS</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85.444,9</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36.851,1</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43,1%</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24.012,0</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53,5%</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RECURSOS DE CAPITAL</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7.547,0</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7.637,5</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101,2%</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5.820,5</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31,2%</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95.551,1</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47.155,7</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49,4%</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30.639,6</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53,9%</w:t>
            </w:r>
          </w:p>
        </w:tc>
      </w:tr>
    </w:tbl>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2016-2017 -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31 de octubre de 2017, </w:t>
      </w:r>
      <w:r w:rsidRPr="00CC51E2">
        <w:rPr>
          <w:rFonts w:ascii="Arial" w:eastAsia="Times New Roman" w:hAnsi="Arial" w:cs="Arial"/>
          <w:sz w:val="20"/>
          <w:szCs w:val="20"/>
          <w:lang w:val="es-ES_tradnl" w:eastAsia="es-ES"/>
        </w:rPr>
        <w:t>l</w:t>
      </w:r>
      <w:r w:rsidRPr="00CC51E2">
        <w:rPr>
          <w:rFonts w:ascii="Arial" w:eastAsia="Times New Roman" w:hAnsi="Arial" w:cs="Arial"/>
          <w:iCs/>
          <w:sz w:val="20"/>
          <w:szCs w:val="20"/>
        </w:rPr>
        <w:t>a ejecución de ingresos acumulada alcanza la cifra de $47.155,7 millones que corresponde al 49,4% de la apropiación anual, Esta ejecución está distribuida en tres conceptos: Ingresos Corrientes con el 104,2% ($2.667,1 millones), Recursos de Capital con 101,2%, ($7.637,5 millones) y transferencias recibidas de la Administración Central 43,1% ($ 36.851,1 millones). Para el 2017 se presenta un incremento del 53,9% en el recaudo de ingresos con respecto a la vigencia 2016.</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CC51E2" w:rsidRDefault="00CC51E2"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CC51E2" w:rsidRDefault="00CC51E2"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CC51E2" w:rsidRDefault="00CC51E2"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CC51E2" w:rsidRPr="00CC51E2" w:rsidRDefault="00CC51E2"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keepNext/>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bookmarkStart w:id="36" w:name="_Toc499197833"/>
      <w:r w:rsidRPr="00CC51E2">
        <w:rPr>
          <w:rFonts w:ascii="Arial" w:hAnsi="Arial" w:cs="Arial"/>
          <w:sz w:val="20"/>
          <w:szCs w:val="20"/>
        </w:rPr>
        <w:lastRenderedPageBreak/>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5</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eastAsia="Times New Roman" w:hAnsi="Arial" w:cs="Arial"/>
          <w:b/>
          <w:sz w:val="20"/>
          <w:szCs w:val="20"/>
          <w:lang w:val="es-MX" w:eastAsia="es-ES"/>
        </w:rPr>
        <w:t xml:space="preserve"> Ejecución de Ingresos a octubre de 2017</w:t>
      </w:r>
      <w:bookmarkEnd w:id="36"/>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noProof/>
          <w:sz w:val="20"/>
          <w:szCs w:val="20"/>
          <w:lang w:val="es-ES" w:eastAsia="es-ES"/>
        </w:rPr>
        <w:drawing>
          <wp:inline distT="0" distB="0" distL="0" distR="0" wp14:anchorId="2B550585" wp14:editId="77C1940F">
            <wp:extent cx="5796280" cy="188918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14211" cy="1895029"/>
                    </a:xfrm>
                    <a:prstGeom prst="rect">
                      <a:avLst/>
                    </a:prstGeom>
                    <a:noFill/>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 xml:space="preserve">Fuente: Informes de Ejecución Presupuestal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2"/>
          <w:numId w:val="50"/>
        </w:numPr>
        <w:spacing w:after="0"/>
        <w:rPr>
          <w:rFonts w:ascii="Arial" w:hAnsi="Arial" w:cs="Arial"/>
          <w:b/>
          <w:sz w:val="20"/>
          <w:szCs w:val="20"/>
          <w:lang w:val="es-MX"/>
        </w:rPr>
      </w:pPr>
      <w:r w:rsidRPr="00CC51E2">
        <w:rPr>
          <w:rFonts w:ascii="Arial" w:hAnsi="Arial" w:cs="Arial"/>
          <w:b/>
          <w:sz w:val="20"/>
          <w:szCs w:val="20"/>
          <w:lang w:val="es-MX"/>
        </w:rPr>
        <w:t>GASTOS</w:t>
      </w:r>
    </w:p>
    <w:p w:rsidR="00B52A9F" w:rsidRPr="00CC51E2" w:rsidRDefault="00B52A9F" w:rsidP="00B52A9F">
      <w:pPr>
        <w:spacing w:after="0"/>
        <w:rPr>
          <w:rFonts w:ascii="Arial" w:hAnsi="Arial" w:cs="Arial"/>
          <w:b/>
          <w:sz w:val="20"/>
          <w:szCs w:val="20"/>
          <w:lang w:val="es-MX"/>
        </w:rPr>
      </w:pPr>
    </w:p>
    <w:p w:rsidR="00B52A9F" w:rsidRPr="00CC51E2" w:rsidRDefault="00B52A9F" w:rsidP="00B52A9F">
      <w:pPr>
        <w:spacing w:after="0" w:line="240" w:lineRule="auto"/>
        <w:jc w:val="both"/>
        <w:rPr>
          <w:rFonts w:ascii="Arial" w:eastAsia="Times New Roman" w:hAnsi="Arial" w:cs="Arial"/>
          <w:iCs/>
          <w:sz w:val="20"/>
          <w:szCs w:val="20"/>
        </w:rPr>
      </w:pPr>
      <w:r w:rsidRPr="00CC51E2">
        <w:rPr>
          <w:rFonts w:ascii="Arial" w:eastAsia="Times New Roman" w:hAnsi="Arial" w:cs="Arial"/>
          <w:iCs/>
          <w:sz w:val="20"/>
          <w:szCs w:val="20"/>
        </w:rPr>
        <w:t xml:space="preserve">El mismo Decreto N° 627 del 26 de diciembre de 2016 estableció que el presupuesto inicial de la Caja de la Vivienda Popular para el 2017 estaría compuesto en un 12.9% ($10.279.8 millones) por los Gastos de Funcionamiento y en un 87.1% ($69.854.9 millones) por los Gastos de Inversión. </w:t>
      </w:r>
    </w:p>
    <w:p w:rsidR="00B52A9F" w:rsidRPr="00CC51E2" w:rsidRDefault="00B52A9F" w:rsidP="00B52A9F">
      <w:pPr>
        <w:spacing w:after="0" w:line="240" w:lineRule="auto"/>
        <w:jc w:val="both"/>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Para el tercer trimestre se presentan modificación al presupuesto de Gastos e Inversiones por valor de $1.899,2 millones, recursos recibidos para el convenio Interadministrativo suscrito entre la Secretaria Distrital de Hábitat (SDHT) y la Caja de la Vivienda Popular (CVP) por valor de $910.2 millones y recursos para el convenio Interadministrativo de cooperación suscrito entre Instituto Distrital de Gestión de Riesgos</w:t>
      </w:r>
      <w:r w:rsidRPr="00CC51E2">
        <w:rPr>
          <w:rFonts w:ascii="Arial" w:eastAsia="Times New Roman" w:hAnsi="Arial" w:cs="Arial"/>
          <w:iCs/>
          <w:sz w:val="20"/>
          <w:szCs w:val="20"/>
        </w:rPr>
        <w:tab/>
        <w:t xml:space="preserve"> y Cambio Climático – IDIGER) y la Caja de la Vivienda Popular (CVP) por valor de $989,0 millones y por último se incorpora una adición al presupuesto por  valor de $15.000.0 millones, mediante Acuerdo 681 del 05 de julio de 2017.</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sz w:val="20"/>
          <w:szCs w:val="20"/>
          <w:lang w:val="es-MX"/>
        </w:rPr>
        <w:t xml:space="preserve">Teniendo en cuenta lo anterior, el presupuesto de Gastos e Inversiones para el tercer trimestre de la vigencia 2017 es de $ 95.551,6 millones, presentando un incremento del 17.7% de la apropiación inicial. </w:t>
      </w:r>
    </w:p>
    <w:p w:rsidR="00CC51E2" w:rsidRDefault="00CC51E2">
      <w:pPr>
        <w:spacing w:after="0" w:line="240" w:lineRule="auto"/>
        <w:rPr>
          <w:rFonts w:ascii="Arial" w:hAnsi="Arial" w:cs="Arial"/>
          <w:sz w:val="20"/>
          <w:szCs w:val="20"/>
          <w:lang w:val="es-MX"/>
        </w:rPr>
      </w:pPr>
      <w:r>
        <w:rPr>
          <w:rFonts w:ascii="Arial" w:hAnsi="Arial" w:cs="Arial"/>
          <w:sz w:val="20"/>
          <w:szCs w:val="20"/>
          <w:lang w:val="es-MX"/>
        </w:rPr>
        <w:br w:type="page"/>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pStyle w:val="Descripcin"/>
        <w:spacing w:after="0"/>
        <w:jc w:val="center"/>
        <w:rPr>
          <w:rFonts w:ascii="Arial" w:hAnsi="Arial" w:cs="Arial"/>
          <w:color w:val="auto"/>
          <w:sz w:val="20"/>
          <w:szCs w:val="20"/>
          <w:lang w:val="es-MX"/>
        </w:rPr>
      </w:pPr>
      <w:bookmarkStart w:id="37" w:name="_Toc499197834"/>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de Gastos a octubre de 2017 y 2016</w:t>
      </w:r>
      <w:bookmarkEnd w:id="37"/>
    </w:p>
    <w:p w:rsidR="00B52A9F" w:rsidRPr="00CC51E2" w:rsidRDefault="00B52A9F" w:rsidP="00B52A9F">
      <w:pPr>
        <w:spacing w:after="0"/>
        <w:jc w:val="center"/>
        <w:rPr>
          <w:rFonts w:ascii="Arial" w:hAnsi="Arial" w:cs="Arial"/>
          <w:sz w:val="20"/>
          <w:szCs w:val="20"/>
          <w:lang w:val="es-MX"/>
        </w:rPr>
      </w:pPr>
      <w:r w:rsidRPr="00CC51E2">
        <w:rPr>
          <w:rFonts w:ascii="Arial" w:hAnsi="Arial" w:cs="Arial"/>
          <w:sz w:val="20"/>
          <w:szCs w:val="20"/>
          <w:lang w:val="es-MX"/>
        </w:rPr>
        <w:t>(millones de $)</w:t>
      </w:r>
    </w:p>
    <w:p w:rsidR="00B52A9F" w:rsidRPr="00CC51E2" w:rsidRDefault="00B52A9F" w:rsidP="00B52A9F">
      <w:pPr>
        <w:spacing w:after="0"/>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5859EDFF" wp14:editId="0D0C34DE">
            <wp:extent cx="5572125" cy="3600450"/>
            <wp:effectExtent l="19050" t="0" r="9525" b="0"/>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2017 – 2016 -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pStyle w:val="Descripcin"/>
        <w:keepNext/>
        <w:spacing w:after="0"/>
        <w:jc w:val="center"/>
        <w:rPr>
          <w:rFonts w:ascii="Arial" w:hAnsi="Arial" w:cs="Arial"/>
          <w:color w:val="auto"/>
          <w:sz w:val="20"/>
          <w:szCs w:val="20"/>
          <w:lang w:val="es-MX"/>
        </w:rPr>
      </w:pPr>
      <w:bookmarkStart w:id="38" w:name="_Toc499197851"/>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Comportamiento de Gastos a octubre de 2016 y 2017</w:t>
      </w:r>
      <w:bookmarkEnd w:id="38"/>
    </w:p>
    <w:p w:rsidR="00B52A9F" w:rsidRPr="00CC51E2" w:rsidRDefault="00B52A9F" w:rsidP="00B52A9F">
      <w:pPr>
        <w:pStyle w:val="Encabezado"/>
        <w:jc w:val="center"/>
        <w:rPr>
          <w:rFonts w:ascii="Arial" w:hAnsi="Arial" w:cs="Arial"/>
          <w:sz w:val="20"/>
          <w:szCs w:val="20"/>
          <w:lang w:val="es-MX"/>
        </w:rPr>
      </w:pPr>
      <w:r w:rsidRPr="00CC51E2">
        <w:rPr>
          <w:rFonts w:ascii="Arial" w:hAnsi="Arial" w:cs="Arial"/>
          <w:sz w:val="20"/>
          <w:szCs w:val="20"/>
          <w:lang w:val="es-MX"/>
        </w:rPr>
        <w:t>(Millones de $)</w:t>
      </w:r>
    </w:p>
    <w:p w:rsidR="00B52A9F" w:rsidRPr="00CC51E2" w:rsidRDefault="00B52A9F" w:rsidP="00B52A9F">
      <w:pPr>
        <w:pStyle w:val="Encabezado"/>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2854EB56" wp14:editId="5CD50F0B">
            <wp:extent cx="5905500" cy="100965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05500" cy="10096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2016 – 2017 - Subdirección Financiera</w:t>
      </w: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mes de octubre </w:t>
      </w:r>
      <w:r w:rsidRPr="00CC51E2">
        <w:rPr>
          <w:rFonts w:ascii="Arial" w:eastAsia="Times New Roman" w:hAnsi="Arial" w:cs="Arial"/>
          <w:sz w:val="20"/>
          <w:szCs w:val="20"/>
          <w:lang w:val="es-ES_tradnl" w:eastAsia="es-ES"/>
        </w:rPr>
        <w:t>de la vigencia 2017, l</w:t>
      </w:r>
      <w:r w:rsidRPr="00CC51E2">
        <w:rPr>
          <w:rFonts w:ascii="Arial" w:eastAsia="Times New Roman" w:hAnsi="Arial" w:cs="Arial"/>
          <w:iCs/>
          <w:sz w:val="20"/>
          <w:szCs w:val="20"/>
        </w:rPr>
        <w:t>a ejecución del presupuesto de Gastos e Inversiones alcanza la cifra de $ 59.401.3 millones que corresponden a una ejecución del 62.2% de la apropiación vigente, y con una variación del 19.6% frente a la vigencia 2016.</w:t>
      </w: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B52A9F">
      <w:pPr>
        <w:spacing w:after="0" w:line="240" w:lineRule="auto"/>
        <w:rPr>
          <w:rFonts w:ascii="Arial" w:eastAsia="Times New Roman" w:hAnsi="Arial" w:cs="Arial"/>
          <w:color w:val="000000"/>
          <w:sz w:val="20"/>
          <w:szCs w:val="20"/>
          <w:lang w:eastAsia="es-CO"/>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57468E">
      <w:pPr>
        <w:pStyle w:val="Prrafodelista"/>
        <w:numPr>
          <w:ilvl w:val="3"/>
          <w:numId w:val="50"/>
        </w:numPr>
        <w:jc w:val="both"/>
        <w:rPr>
          <w:rFonts w:ascii="Arial" w:hAnsi="Arial" w:cs="Arial"/>
          <w:b/>
          <w:sz w:val="20"/>
          <w:szCs w:val="20"/>
          <w:lang w:val="es-MX"/>
        </w:rPr>
      </w:pPr>
      <w:r w:rsidRPr="00CC51E2">
        <w:rPr>
          <w:rFonts w:ascii="Arial" w:hAnsi="Arial" w:cs="Arial"/>
          <w:b/>
          <w:sz w:val="20"/>
          <w:szCs w:val="20"/>
          <w:lang w:val="es-MX"/>
        </w:rPr>
        <w:t>Gastos de Inversión</w:t>
      </w:r>
    </w:p>
    <w:p w:rsidR="00B52A9F" w:rsidRPr="00CC51E2" w:rsidRDefault="00B52A9F" w:rsidP="00B52A9F">
      <w:pPr>
        <w:pStyle w:val="Descripcin"/>
        <w:keepNext/>
        <w:spacing w:after="0"/>
        <w:jc w:val="center"/>
        <w:rPr>
          <w:rFonts w:ascii="Arial" w:hAnsi="Arial" w:cs="Arial"/>
          <w:color w:val="auto"/>
          <w:sz w:val="20"/>
          <w:szCs w:val="20"/>
          <w:lang w:val="es-MX"/>
        </w:rPr>
      </w:pPr>
      <w:bookmarkStart w:id="39" w:name="_Toc499197852"/>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presupuestal de Gastos de Inversión - 2017</w:t>
      </w:r>
      <w:bookmarkEnd w:id="39"/>
    </w:p>
    <w:p w:rsidR="00B52A9F" w:rsidRPr="00CC51E2" w:rsidRDefault="00B52A9F" w:rsidP="00B52A9F">
      <w:pPr>
        <w:spacing w:after="0" w:line="240" w:lineRule="auto"/>
        <w:jc w:val="center"/>
        <w:rPr>
          <w:rFonts w:ascii="Arial" w:hAnsi="Arial" w:cs="Arial"/>
          <w:sz w:val="20"/>
          <w:szCs w:val="20"/>
          <w:lang w:val="es-MX"/>
        </w:rPr>
      </w:pPr>
      <w:r w:rsidRPr="00CC51E2">
        <w:rPr>
          <w:rFonts w:ascii="Arial" w:hAnsi="Arial" w:cs="Arial"/>
          <w:sz w:val="20"/>
          <w:szCs w:val="20"/>
          <w:lang w:val="es-MX"/>
        </w:rPr>
        <w:t>(millones de $)</w:t>
      </w:r>
    </w:p>
    <w:tbl>
      <w:tblPr>
        <w:tblW w:w="8263" w:type="dxa"/>
        <w:jc w:val="center"/>
        <w:tblCellMar>
          <w:left w:w="70" w:type="dxa"/>
          <w:right w:w="70" w:type="dxa"/>
        </w:tblCellMar>
        <w:tblLook w:val="04A0" w:firstRow="1" w:lastRow="0" w:firstColumn="1" w:lastColumn="0" w:noHBand="0" w:noVBand="1"/>
      </w:tblPr>
      <w:tblGrid>
        <w:gridCol w:w="4172"/>
        <w:gridCol w:w="1652"/>
        <w:gridCol w:w="1635"/>
        <w:gridCol w:w="1307"/>
      </w:tblGrid>
      <w:tr w:rsidR="00B52A9F" w:rsidRPr="00CC51E2" w:rsidTr="00FB40A1">
        <w:trPr>
          <w:trHeight w:val="732"/>
          <w:jc w:val="center"/>
        </w:trPr>
        <w:tc>
          <w:tcPr>
            <w:tcW w:w="4172"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CONCEPTO</w:t>
            </w:r>
          </w:p>
        </w:tc>
        <w:tc>
          <w:tcPr>
            <w:tcW w:w="1300"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PRESUPUESTO 2017</w:t>
            </w:r>
          </w:p>
        </w:tc>
        <w:tc>
          <w:tcPr>
            <w:tcW w:w="1635"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EJECUCIÓN A OCTUBRE 2017</w:t>
            </w:r>
          </w:p>
        </w:tc>
        <w:tc>
          <w:tcPr>
            <w:tcW w:w="1156"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DE EJECUCION</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INVERSIÓN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85.271,2</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51.226,1</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60,1%</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DIRECTA</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76.528,9</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49.478,3</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64,7%</w:t>
            </w:r>
          </w:p>
        </w:tc>
      </w:tr>
      <w:tr w:rsidR="00B52A9F" w:rsidRPr="00CC51E2" w:rsidTr="00FB40A1">
        <w:trPr>
          <w:trHeight w:val="605"/>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3075-110</w:t>
            </w:r>
            <w:r w:rsidRPr="00CC51E2">
              <w:rPr>
                <w:rFonts w:ascii="Arial" w:eastAsia="Times New Roman" w:hAnsi="Arial" w:cs="Arial"/>
                <w:sz w:val="20"/>
                <w:szCs w:val="20"/>
                <w:lang w:eastAsia="es-CO"/>
              </w:rPr>
              <w:t xml:space="preserve"> Reasentamiento de Hogares Localizados en Zonas de Alto Riesgo no Mitigable</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42.332,2</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27.761,6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65,6%</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208-134</w:t>
            </w:r>
            <w:r w:rsidRPr="00CC51E2">
              <w:rPr>
                <w:rFonts w:ascii="Arial" w:eastAsia="Times New Roman" w:hAnsi="Arial" w:cs="Arial"/>
                <w:sz w:val="20"/>
                <w:szCs w:val="20"/>
                <w:lang w:eastAsia="es-CO"/>
              </w:rPr>
              <w:t xml:space="preserve"> Mejoramiento de Barrios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12.533,7</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4.331,6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34,6%</w:t>
            </w:r>
          </w:p>
        </w:tc>
      </w:tr>
      <w:tr w:rsidR="00B52A9F" w:rsidRPr="00CC51E2" w:rsidTr="00FB40A1">
        <w:trPr>
          <w:trHeight w:val="533"/>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 xml:space="preserve">471-134 </w:t>
            </w:r>
            <w:r w:rsidRPr="00CC51E2">
              <w:rPr>
                <w:rFonts w:ascii="Arial" w:eastAsia="Times New Roman" w:hAnsi="Arial" w:cs="Arial"/>
                <w:sz w:val="20"/>
                <w:szCs w:val="20"/>
                <w:lang w:eastAsia="es-CO"/>
              </w:rPr>
              <w:t>Titulación de Predios y Gestión de Urbanizaciones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6.333,4</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5.193,6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82,0%</w:t>
            </w:r>
          </w:p>
        </w:tc>
      </w:tr>
      <w:tr w:rsidR="00B52A9F" w:rsidRPr="00CC51E2" w:rsidTr="00FB40A1">
        <w:trPr>
          <w:trHeight w:val="945"/>
          <w:jc w:val="center"/>
        </w:trPr>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7328 -134</w:t>
            </w:r>
            <w:r w:rsidRPr="00CC51E2">
              <w:rPr>
                <w:rFonts w:ascii="Arial" w:eastAsia="Times New Roman" w:hAnsi="Arial" w:cs="Arial"/>
                <w:sz w:val="20"/>
                <w:szCs w:val="20"/>
                <w:lang w:eastAsia="es-CO"/>
              </w:rPr>
              <w:t xml:space="preserve"> Mejoramiento de Vivienda en sus Condiciones Físicas y de Habitabilidad en los Asentamientos Humanos Priorizados en Área Urbana y Rural.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4.555,7</w:t>
            </w:r>
          </w:p>
        </w:tc>
        <w:tc>
          <w:tcPr>
            <w:tcW w:w="1635"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3.720,0</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81,7%</w:t>
            </w:r>
          </w:p>
        </w:tc>
      </w:tr>
      <w:tr w:rsidR="00B52A9F" w:rsidRPr="00CC51E2" w:rsidTr="00FB40A1">
        <w:trPr>
          <w:trHeight w:val="884"/>
          <w:jc w:val="center"/>
        </w:trPr>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943-185</w:t>
            </w:r>
            <w:r w:rsidRPr="00CC51E2">
              <w:rPr>
                <w:rFonts w:ascii="Arial" w:eastAsia="Times New Roman" w:hAnsi="Arial" w:cs="Arial"/>
                <w:sz w:val="20"/>
                <w:szCs w:val="20"/>
                <w:lang w:eastAsia="es-CO"/>
              </w:rPr>
              <w:t xml:space="preserve"> Fortalecimiento institucional para la transparencia, participación ciudadana, control y responsabilidad social y anticorrupción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509,7</w:t>
            </w:r>
          </w:p>
        </w:tc>
        <w:tc>
          <w:tcPr>
            <w:tcW w:w="1635"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484,9</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95,1%</w:t>
            </w:r>
          </w:p>
        </w:tc>
      </w:tr>
      <w:tr w:rsidR="00B52A9F" w:rsidRPr="00CC51E2" w:rsidTr="00FB40A1">
        <w:trPr>
          <w:trHeight w:val="533"/>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404-189</w:t>
            </w:r>
            <w:r w:rsidRPr="00CC51E2">
              <w:rPr>
                <w:rFonts w:ascii="Arial" w:eastAsia="Times New Roman" w:hAnsi="Arial" w:cs="Arial"/>
                <w:sz w:val="20"/>
                <w:szCs w:val="20"/>
                <w:lang w:eastAsia="es-CO"/>
              </w:rPr>
              <w:t xml:space="preserve"> Fortalecimiento institucional para aumentar la eficiencia de la gestión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7.291,1</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5.575,7</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76,5%</w:t>
            </w:r>
          </w:p>
        </w:tc>
      </w:tr>
      <w:tr w:rsidR="00B52A9F" w:rsidRPr="00CC51E2" w:rsidTr="00FB40A1">
        <w:trPr>
          <w:trHeight w:val="578"/>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1174-192</w:t>
            </w:r>
            <w:r w:rsidRPr="00CC51E2">
              <w:rPr>
                <w:rFonts w:ascii="Arial" w:eastAsia="Times New Roman" w:hAnsi="Arial" w:cs="Arial"/>
                <w:sz w:val="20"/>
                <w:szCs w:val="20"/>
                <w:lang w:eastAsia="es-CO"/>
              </w:rPr>
              <w:t xml:space="preserve"> Fortalecimiento de las tecnologías de información y la comunicación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2.972,9</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2.410,9</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81,1%</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PASIVOS EXIGIBLES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8.742,3</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1.747,8</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20,0%</w:t>
            </w:r>
          </w:p>
        </w:tc>
      </w:tr>
    </w:tbl>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Informe de Ejecución Presupuestal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eastAsia="es-ES"/>
        </w:rPr>
      </w:pPr>
      <w:r w:rsidRPr="00CC51E2">
        <w:rPr>
          <w:rFonts w:ascii="Arial" w:eastAsia="Times New Roman" w:hAnsi="Arial" w:cs="Arial"/>
          <w:sz w:val="20"/>
          <w:szCs w:val="20"/>
          <w:lang w:val="es-ES_tradnl" w:eastAsia="es-ES"/>
        </w:rPr>
        <w:t>La apropiación vigente para gastos de inversión es de $85.271.2 millones, con un porcentaje de participación del 89,2%, de los cuales a octubre presenta una ejecución de 60.1%</w:t>
      </w:r>
    </w:p>
    <w:p w:rsidR="00B52A9F" w:rsidRPr="00CC51E2" w:rsidRDefault="00B52A9F" w:rsidP="00B52A9F">
      <w:pPr>
        <w:autoSpaceDE w:val="0"/>
        <w:autoSpaceDN w:val="0"/>
        <w:adjustRightInd w:val="0"/>
        <w:spacing w:after="0" w:line="240" w:lineRule="auto"/>
        <w:jc w:val="both"/>
        <w:rPr>
          <w:rFonts w:ascii="Arial" w:eastAsia="Times New Roman" w:hAnsi="Arial" w:cs="Arial"/>
          <w:sz w:val="20"/>
          <w:szCs w:val="20"/>
          <w:lang w:val="es-ES_tradnl" w:eastAsia="es-ES"/>
        </w:rPr>
      </w:pPr>
    </w:p>
    <w:p w:rsidR="00B52A9F" w:rsidRPr="00CC51E2" w:rsidRDefault="00B52A9F" w:rsidP="00B52A9F">
      <w:pPr>
        <w:autoSpaceDE w:val="0"/>
        <w:autoSpaceDN w:val="0"/>
        <w:adjustRightInd w:val="0"/>
        <w:spacing w:after="0" w:line="240" w:lineRule="auto"/>
        <w:jc w:val="both"/>
        <w:rPr>
          <w:rFonts w:ascii="Arial" w:hAnsi="Arial" w:cs="Arial"/>
          <w:sz w:val="20"/>
          <w:szCs w:val="20"/>
          <w:lang w:eastAsia="es-CO"/>
        </w:rPr>
      </w:pPr>
      <w:r w:rsidRPr="00CC51E2">
        <w:rPr>
          <w:rFonts w:ascii="Arial" w:eastAsia="Times New Roman" w:hAnsi="Arial" w:cs="Arial"/>
          <w:sz w:val="20"/>
          <w:szCs w:val="20"/>
          <w:lang w:val="es-ES_tradnl" w:eastAsia="es-ES"/>
        </w:rPr>
        <w:t xml:space="preserve">El programa de más complejidad y mayor cantidad de recursos que maneja la Entidad es Reasentamiento de hogares localizados en zonas de alto riesgo no mitigable con una apropiación vigente de $42.332.2 millones y una ejecución presupuestal de $27.761.6 millones, equivalentes al 65.6%. Los conceptos de gasto más representativos de este programa son: VUR para reasentamientos de Hogares Localizados en zonas de alto riesgo no mitigable, Relocalización de hogares localizados en zonas de alto riesgo no mitigable y </w:t>
      </w:r>
      <w:r w:rsidRPr="00CC51E2">
        <w:rPr>
          <w:rFonts w:ascii="Arial" w:hAnsi="Arial" w:cs="Arial"/>
          <w:sz w:val="20"/>
          <w:szCs w:val="20"/>
          <w:lang w:eastAsia="es-CO"/>
        </w:rPr>
        <w:t>contratación de personal para apoyar las actividades propias del proyecto.</w:t>
      </w:r>
      <w:r w:rsidRPr="00CC51E2">
        <w:rPr>
          <w:rFonts w:ascii="Arial" w:eastAsia="Times New Roman" w:hAnsi="Arial" w:cs="Arial"/>
          <w:sz w:val="20"/>
          <w:szCs w:val="20"/>
          <w:lang w:val="es-ES_tradnl" w:eastAsia="es-ES"/>
        </w:rPr>
        <w:t xml:space="preserve">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eastAsia="es-ES"/>
        </w:rPr>
      </w:pPr>
      <w:r w:rsidRPr="00CC51E2">
        <w:rPr>
          <w:rFonts w:ascii="Arial" w:eastAsia="Times New Roman" w:hAnsi="Arial" w:cs="Arial"/>
          <w:sz w:val="20"/>
          <w:szCs w:val="20"/>
          <w:lang w:val="es-ES_tradnl" w:eastAsia="es-ES"/>
        </w:rPr>
        <w:t xml:space="preserve">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r w:rsidRPr="00CC51E2">
        <w:rPr>
          <w:rFonts w:ascii="Arial" w:eastAsia="KozGoPr6N-Light" w:hAnsi="Arial" w:cs="Arial"/>
          <w:sz w:val="20"/>
          <w:szCs w:val="20"/>
          <w:lang w:val="es-ES_tradnl" w:eastAsia="es-ES"/>
        </w:rPr>
        <w:t xml:space="preserve">El programa de Mejoramiento de barrios presenta ejecución del 34,6% ($ 4.331,6 millones), Titulación de predios y gestión de urbanizaciones con ejecución del 82,0% ($ 5.193,6 millones) y Mejoramiento de vivienda en sus condiciones físicas con una ejecución del 81,7% ($ 3.720,0 millones).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r w:rsidRPr="00CC51E2">
        <w:rPr>
          <w:rFonts w:ascii="Arial" w:eastAsia="KozGoPr6N-Light" w:hAnsi="Arial" w:cs="Arial"/>
          <w:sz w:val="20"/>
          <w:szCs w:val="20"/>
          <w:lang w:val="es-ES_tradnl" w:eastAsia="es-ES"/>
        </w:rPr>
        <w:t xml:space="preserve">Para el tercer  trimestre, los programas para el Fortalecimiento Institucional orientados al mejoramiento de la eficiencia de la gestión de la entidad se ejecutaron $ 8.471,5 millones, discriminados de la siguiente manera: Fortalecimiento institucional para la transparencia, participación ciudadana, control y responsabilidad social y anticorrupción con una ejecución del 95,1% ($ 484,9 millones), fortalecimiento </w:t>
      </w:r>
      <w:r w:rsidRPr="00CC51E2">
        <w:rPr>
          <w:rFonts w:ascii="Arial" w:eastAsia="KozGoPr6N-Light" w:hAnsi="Arial" w:cs="Arial"/>
          <w:sz w:val="20"/>
          <w:szCs w:val="20"/>
          <w:lang w:val="es-ES_tradnl" w:eastAsia="es-ES"/>
        </w:rPr>
        <w:lastRenderedPageBreak/>
        <w:t xml:space="preserve">institucional para aumentar la eficiencia de la gestión  con una ejecución del 76,5% ($ 5.575,7 millones) y fortalecimiento de las tecnologías de información y la comunicación con una ejecución del 81,1% ($ 2.410,9 millones). </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b/>
          <w:sz w:val="20"/>
          <w:szCs w:val="20"/>
          <w:lang w:val="es-MX"/>
        </w:rPr>
        <w:t>Pasivos Exigibles</w:t>
      </w:r>
      <w:r w:rsidRPr="00CC51E2">
        <w:rPr>
          <w:rFonts w:ascii="Arial" w:hAnsi="Arial" w:cs="Arial"/>
          <w:sz w:val="20"/>
          <w:szCs w:val="20"/>
          <w:lang w:val="es-MX"/>
        </w:rPr>
        <w:t xml:space="preserve">: la apropiación vigente para el rubro de Pasivos Exigibles es de $ 8.742,3 millones, los cuales se han ejecutado $ 1.747,8 millones con un porcentaje de ejecución del 20,0%. </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sz w:val="20"/>
          <w:szCs w:val="20"/>
          <w:lang w:val="es-MX" w:eastAsia="es-CO"/>
        </w:rPr>
      </w:pPr>
    </w:p>
    <w:p w:rsidR="00B52A9F" w:rsidRPr="00CC51E2" w:rsidRDefault="00B52A9F" w:rsidP="0057468E">
      <w:pPr>
        <w:pStyle w:val="Prrafodelista"/>
        <w:numPr>
          <w:ilvl w:val="2"/>
          <w:numId w:val="50"/>
        </w:numPr>
        <w:jc w:val="both"/>
        <w:rPr>
          <w:rFonts w:ascii="Arial" w:hAnsi="Arial" w:cs="Arial"/>
          <w:b/>
          <w:sz w:val="20"/>
          <w:szCs w:val="20"/>
        </w:rPr>
      </w:pPr>
      <w:r w:rsidRPr="00CC51E2">
        <w:rPr>
          <w:rFonts w:ascii="Arial" w:hAnsi="Arial" w:cs="Arial"/>
          <w:b/>
          <w:sz w:val="20"/>
          <w:szCs w:val="20"/>
        </w:rPr>
        <w:t xml:space="preserve"> EJECUCIÓN DE RESERVAS PRESUPUESTALES</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Con corte a 31 de octubre del 2017, los montos definitivos de las reservas presupuestales de la Caja de la Vivienda Popular son de $ 35.882,7 millones, con un porcentaje de participación del 2.6% para gastos de funcionamiento por valor de $ 951,6 millones, registrando giros del 95,2% y para gastos de inversión por valor de $ 34.931,1 millones, y giros del 68,7%).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Descripcin"/>
        <w:keepNext/>
        <w:spacing w:after="0"/>
        <w:jc w:val="center"/>
        <w:rPr>
          <w:rFonts w:ascii="Arial" w:hAnsi="Arial" w:cs="Arial"/>
          <w:color w:val="auto"/>
          <w:sz w:val="20"/>
          <w:szCs w:val="20"/>
        </w:rPr>
      </w:pPr>
      <w:bookmarkStart w:id="40" w:name="_Toc499197853"/>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8</w:t>
      </w:r>
      <w:r w:rsidRPr="00CC51E2">
        <w:rPr>
          <w:rFonts w:ascii="Arial" w:hAnsi="Arial" w:cs="Arial"/>
          <w:color w:val="auto"/>
          <w:sz w:val="20"/>
          <w:szCs w:val="20"/>
        </w:rPr>
        <w:fldChar w:fldCharType="end"/>
      </w:r>
      <w:r w:rsidRPr="00CC51E2">
        <w:rPr>
          <w:rFonts w:ascii="Arial" w:hAnsi="Arial" w:cs="Arial"/>
          <w:color w:val="auto"/>
          <w:sz w:val="20"/>
          <w:szCs w:val="20"/>
        </w:rPr>
        <w:t xml:space="preserve"> - Ejecución de reservas presupuestales a octubre de 2017</w:t>
      </w:r>
      <w:bookmarkEnd w:id="40"/>
    </w:p>
    <w:p w:rsidR="00B52A9F" w:rsidRPr="00CC51E2" w:rsidRDefault="00B52A9F" w:rsidP="00B52A9F">
      <w:pPr>
        <w:spacing w:after="0" w:line="240" w:lineRule="auto"/>
        <w:jc w:val="center"/>
        <w:rPr>
          <w:rFonts w:ascii="Arial" w:hAnsi="Arial" w:cs="Arial"/>
          <w:sz w:val="20"/>
          <w:szCs w:val="20"/>
        </w:rPr>
      </w:pPr>
      <w:r w:rsidRPr="00CC51E2">
        <w:rPr>
          <w:rFonts w:ascii="Arial" w:hAnsi="Arial" w:cs="Arial"/>
          <w:sz w:val="20"/>
          <w:szCs w:val="20"/>
        </w:rPr>
        <w:t>(millones de $)</w:t>
      </w:r>
    </w:p>
    <w:tbl>
      <w:tblPr>
        <w:tblW w:w="8202" w:type="dxa"/>
        <w:jc w:val="center"/>
        <w:tblCellMar>
          <w:left w:w="70" w:type="dxa"/>
          <w:right w:w="70" w:type="dxa"/>
        </w:tblCellMar>
        <w:tblLook w:val="04A0" w:firstRow="1" w:lastRow="0" w:firstColumn="1" w:lastColumn="0" w:noHBand="0" w:noVBand="1"/>
      </w:tblPr>
      <w:tblGrid>
        <w:gridCol w:w="952"/>
        <w:gridCol w:w="3591"/>
        <w:gridCol w:w="1507"/>
        <w:gridCol w:w="1457"/>
        <w:gridCol w:w="819"/>
      </w:tblGrid>
      <w:tr w:rsidR="00B52A9F" w:rsidRPr="00CC51E2" w:rsidTr="00FB40A1">
        <w:trPr>
          <w:trHeight w:val="823"/>
          <w:jc w:val="center"/>
        </w:trPr>
        <w:tc>
          <w:tcPr>
            <w:tcW w:w="86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CODIGO</w:t>
            </w:r>
          </w:p>
        </w:tc>
        <w:tc>
          <w:tcPr>
            <w:tcW w:w="3591"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xml:space="preserve">NOMBRE RUBRO </w:t>
            </w:r>
          </w:p>
        </w:tc>
        <w:tc>
          <w:tcPr>
            <w:tcW w:w="1507"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Reservas Definitivas a octubre 31/2017</w:t>
            </w:r>
          </w:p>
        </w:tc>
        <w:tc>
          <w:tcPr>
            <w:tcW w:w="1457"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Valor Girado a octubre 31/2017</w:t>
            </w:r>
          </w:p>
        </w:tc>
        <w:tc>
          <w:tcPr>
            <w:tcW w:w="781"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de Giro</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FUNCIONAMIENTO</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951,6</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907,7</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95,4%</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Servicios Personales</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661,8</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661,8</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100,0%</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Gastos Generales</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289,8</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245,9</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84,9%</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INVERSIÓN</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34.931,1</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24.015,0</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68,7%</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DIRECTA</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34.931,1</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24.015,0</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68,7%</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 </w:t>
            </w:r>
          </w:p>
        </w:tc>
        <w:tc>
          <w:tcPr>
            <w:tcW w:w="359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Bogotá Humana</w:t>
            </w:r>
          </w:p>
        </w:tc>
        <w:tc>
          <w:tcPr>
            <w:tcW w:w="1507"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1.184,3</w:t>
            </w:r>
          </w:p>
        </w:tc>
        <w:tc>
          <w:tcPr>
            <w:tcW w:w="1457"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868,4</w:t>
            </w:r>
          </w:p>
        </w:tc>
        <w:tc>
          <w:tcPr>
            <w:tcW w:w="78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73,3%</w:t>
            </w:r>
          </w:p>
        </w:tc>
      </w:tr>
      <w:tr w:rsidR="00B52A9F" w:rsidRPr="00CC51E2" w:rsidTr="00FB40A1">
        <w:trPr>
          <w:trHeight w:val="369"/>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208-175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Integral de Barrios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297,5</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185,9</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62,5%</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471-175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Titulación de predios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138,3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138,3</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691-174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Desarrollo de proyectos de Vivienda de Interés Prioritario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52,3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52,3</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7328-175</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de Vivienda en sus Condiciones Físicas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149,1</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149,1</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3075-200</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Reasentamientos de hogares localizados en zonas de alto riesgo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512,6</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308,4</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60,2%</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404-235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Fortalecimiento Institucional para Aumentar la Eficiencia de la Gestión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34,4</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34,4</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 </w:t>
            </w:r>
          </w:p>
        </w:tc>
        <w:tc>
          <w:tcPr>
            <w:tcW w:w="359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Bogotá Mejor Para Todos</w:t>
            </w:r>
          </w:p>
        </w:tc>
        <w:tc>
          <w:tcPr>
            <w:tcW w:w="1507" w:type="dxa"/>
            <w:tcBorders>
              <w:top w:val="nil"/>
              <w:left w:val="nil"/>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33.746,9</w:t>
            </w:r>
          </w:p>
        </w:tc>
        <w:tc>
          <w:tcPr>
            <w:tcW w:w="1457" w:type="dxa"/>
            <w:tcBorders>
              <w:top w:val="nil"/>
              <w:left w:val="nil"/>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23.146,5</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68,6%</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3075-110</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Reasentamiento de Hogares Localizados en Zonas de Alto Riesgo no Mitigable</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18.118,9</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13.422,7</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74,1%</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208-134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Mejoramiento de Barrios</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9.033,3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3.903,6</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43,2%</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471-134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Titulación de Predios y Gestión de Urbanizaciones</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2.094,5</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1.711,5</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81,7%</w:t>
            </w:r>
          </w:p>
        </w:tc>
      </w:tr>
      <w:tr w:rsidR="00B52A9F" w:rsidRPr="00CC51E2" w:rsidTr="00FB40A1">
        <w:trPr>
          <w:trHeight w:val="1154"/>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lastRenderedPageBreak/>
              <w:t>7328-134</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de Vivienda en sus Condiciones Físicas y de Habitabilidad en los Asentamientos Humanos Priorizados en Área Urbana y Rural.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1.753,5</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1.587,0</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90,5%</w:t>
            </w:r>
          </w:p>
        </w:tc>
      </w:tr>
      <w:tr w:rsidR="00B52A9F" w:rsidRPr="00CC51E2" w:rsidTr="00FB40A1">
        <w:trPr>
          <w:trHeight w:val="1154"/>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943-185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Fortalecimiento institucional para la transparencia, participación ciudadana, control y responsabilidad social y anticorrupción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155,0</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155,0</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404-189</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Fortalecimiento institucional para aumentar la eficiencia de la gestión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1.799,6</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1.650,0</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91,7%</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1174-192</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Fortalecimiento de las tecnologías de información y la comunicación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792,2</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716,8</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90,5%</w:t>
            </w:r>
          </w:p>
        </w:tc>
      </w:tr>
      <w:tr w:rsidR="00B52A9F" w:rsidRPr="00CC51E2" w:rsidTr="00FB40A1">
        <w:trPr>
          <w:trHeight w:val="303"/>
          <w:jc w:val="center"/>
        </w:trPr>
        <w:tc>
          <w:tcPr>
            <w:tcW w:w="866" w:type="dxa"/>
            <w:tcBorders>
              <w:top w:val="nil"/>
              <w:left w:val="nil"/>
              <w:bottom w:val="nil"/>
              <w:right w:val="nil"/>
            </w:tcBorders>
            <w:shd w:val="clear" w:color="auto" w:fill="auto"/>
            <w:noWrap/>
            <w:vAlign w:val="center"/>
            <w:hideMark/>
          </w:tcPr>
          <w:p w:rsidR="00B52A9F" w:rsidRPr="00CC51E2" w:rsidRDefault="00B52A9F" w:rsidP="00FB40A1">
            <w:pPr>
              <w:spacing w:after="0" w:line="240" w:lineRule="auto"/>
              <w:rPr>
                <w:rFonts w:ascii="Arial" w:eastAsia="Times New Roman" w:hAnsi="Arial" w:cs="Arial"/>
                <w:sz w:val="20"/>
                <w:szCs w:val="20"/>
                <w:lang w:eastAsia="es-CO"/>
              </w:rPr>
            </w:pPr>
          </w:p>
        </w:tc>
        <w:tc>
          <w:tcPr>
            <w:tcW w:w="3591" w:type="dxa"/>
            <w:tcBorders>
              <w:top w:val="nil"/>
              <w:left w:val="single" w:sz="4" w:space="0" w:color="auto"/>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TOTA RESERVAS</w:t>
            </w:r>
          </w:p>
        </w:tc>
        <w:tc>
          <w:tcPr>
            <w:tcW w:w="1507"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35.882,7</w:t>
            </w:r>
          </w:p>
        </w:tc>
        <w:tc>
          <w:tcPr>
            <w:tcW w:w="1457"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24.922,7</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69,46%</w:t>
            </w:r>
          </w:p>
        </w:tc>
      </w:tr>
    </w:tbl>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Informe de Ejecución Presupuestal de Reservas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1"/>
          <w:numId w:val="50"/>
        </w:numPr>
        <w:jc w:val="both"/>
        <w:outlineLvl w:val="0"/>
        <w:rPr>
          <w:rFonts w:ascii="Arial" w:hAnsi="Arial" w:cs="Arial"/>
          <w:b/>
          <w:sz w:val="20"/>
          <w:szCs w:val="20"/>
        </w:rPr>
      </w:pPr>
      <w:bookmarkStart w:id="41" w:name="_Toc499145425"/>
      <w:r w:rsidRPr="00CC51E2">
        <w:rPr>
          <w:rFonts w:ascii="Arial" w:hAnsi="Arial" w:cs="Arial"/>
          <w:b/>
          <w:sz w:val="20"/>
          <w:szCs w:val="20"/>
        </w:rPr>
        <w:t>GESTIÓN DE CARTERA</w:t>
      </w:r>
      <w:bookmarkEnd w:id="41"/>
      <w:r w:rsidRPr="00CC51E2">
        <w:rPr>
          <w:rFonts w:ascii="Arial" w:hAnsi="Arial" w:cs="Arial"/>
          <w:b/>
          <w:sz w:val="20"/>
          <w:szCs w:val="20"/>
        </w:rPr>
        <w:t xml:space="preserve">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presente documento muestra de manera resumida el comportamiento de la cartera durante el periodo transcurrido entre el 01 Ene 2016 y el 30 de septiembre de 2017, con énfasis en los principales logros obtenidos en materia de gestión de cartera y las dificultades que han impedido la recuperación y/o saneamiento definitivo de este tipo de activos que se han vuelto improductivos para la entidad.</w:t>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57468E">
      <w:pPr>
        <w:pStyle w:val="Prrafodelista"/>
        <w:numPr>
          <w:ilvl w:val="2"/>
          <w:numId w:val="50"/>
        </w:numPr>
        <w:spacing w:after="0"/>
        <w:jc w:val="both"/>
        <w:rPr>
          <w:rFonts w:ascii="Arial" w:hAnsi="Arial" w:cs="Arial"/>
          <w:b/>
          <w:sz w:val="20"/>
          <w:szCs w:val="20"/>
        </w:rPr>
      </w:pPr>
      <w:r w:rsidRPr="00CC51E2">
        <w:rPr>
          <w:rFonts w:ascii="Arial" w:hAnsi="Arial" w:cs="Arial"/>
          <w:b/>
          <w:sz w:val="20"/>
          <w:szCs w:val="20"/>
        </w:rPr>
        <w:t>COMPORTAMIENTO DE LA CARTERA</w:t>
      </w:r>
    </w:p>
    <w:p w:rsidR="00B52A9F" w:rsidRPr="00CC51E2" w:rsidRDefault="00B52A9F" w:rsidP="00B52A9F">
      <w:pPr>
        <w:pStyle w:val="Prrafodelista"/>
        <w:spacing w:after="0"/>
        <w:ind w:left="1080"/>
        <w:jc w:val="both"/>
        <w:rPr>
          <w:rFonts w:ascii="Arial" w:hAnsi="Arial" w:cs="Arial"/>
          <w:b/>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El monto total de la cartera registrada en el Balance General, con corte a 31-Dic-2015, ascendía a $ 21.934 millones y correspondía a 1.379 obligaciones y a 30 de septiembre 2017 ascendió a la suma de $ 23.839 millones para 1.233 deudores. El incremento fue del 8,69% ($ 1.905 millones), dicha variación se debió por el incumplimiento de las cuotas pactadas con los deudores, lo cual genera aumento las obligaciones por los intereses de mora.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Respecto de la cantidad de obligaciones, se disminuyeron en el 10,59% (Cancelación de 146 deudas), reducción explicada por el pago voluntario de deudas y la aplicación de indemnizaciones por fallecimiento e incapacidad total y permanente de deudores.</w:t>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 cartera con corte a 30 de septiembre de 2017, se encuentra distribuida de la siguiente manera: el 1.06% cancelan al día, el 3,19% tiene mora entre 1 a 12 meses y el 95,75% corresponde a los deudores con más de doce meses de vencimiento, sin embargo al analizarla por criterios de gestión, se encuentra que la cartera cobrable es de $ 4.027 millones para 635 obligaciones y en difícil cobro $ 19.811 millones, 598 deudores, estos últimos se le viene adelantando un proceso de revisión de expedientes para determinar si es posible su depuración por algunos de los fenómenos establecidos para el saneamiento de cartera.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   </w:t>
      </w:r>
    </w:p>
    <w:p w:rsidR="00CC51E2" w:rsidRDefault="00CC51E2">
      <w:pPr>
        <w:spacing w:after="0" w:line="240" w:lineRule="auto"/>
        <w:rPr>
          <w:rFonts w:ascii="Arial" w:hAnsi="Arial" w:cs="Arial"/>
          <w:b/>
          <w:bCs/>
          <w:sz w:val="20"/>
          <w:szCs w:val="20"/>
        </w:rPr>
      </w:pPr>
      <w:bookmarkStart w:id="42" w:name="_Toc499197854"/>
      <w:r>
        <w:rPr>
          <w:rFonts w:ascii="Arial" w:hAnsi="Arial" w:cs="Arial"/>
          <w:sz w:val="20"/>
          <w:szCs w:val="20"/>
        </w:rPr>
        <w:br w:type="page"/>
      </w:r>
    </w:p>
    <w:p w:rsidR="00B52A9F" w:rsidRPr="00CC51E2" w:rsidRDefault="00B52A9F" w:rsidP="00B52A9F">
      <w:pPr>
        <w:pStyle w:val="Descripcin"/>
        <w:keepNext/>
        <w:spacing w:after="0"/>
        <w:jc w:val="center"/>
        <w:rPr>
          <w:rFonts w:ascii="Arial" w:hAnsi="Arial" w:cs="Arial"/>
          <w:color w:val="auto"/>
          <w:sz w:val="20"/>
          <w:szCs w:val="20"/>
        </w:rPr>
      </w:pPr>
      <w:r w:rsidRPr="00CC51E2">
        <w:rPr>
          <w:rFonts w:ascii="Arial" w:hAnsi="Arial" w:cs="Arial"/>
          <w:color w:val="auto"/>
          <w:sz w:val="20"/>
          <w:szCs w:val="20"/>
        </w:rPr>
        <w:lastRenderedPageBreak/>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9</w:t>
      </w:r>
      <w:r w:rsidRPr="00CC51E2">
        <w:rPr>
          <w:rFonts w:ascii="Arial" w:hAnsi="Arial" w:cs="Arial"/>
          <w:color w:val="auto"/>
          <w:sz w:val="20"/>
          <w:szCs w:val="20"/>
        </w:rPr>
        <w:fldChar w:fldCharType="end"/>
      </w:r>
      <w:r w:rsidRPr="00CC51E2">
        <w:rPr>
          <w:rFonts w:ascii="Arial" w:hAnsi="Arial" w:cs="Arial"/>
          <w:color w:val="auto"/>
          <w:sz w:val="20"/>
          <w:szCs w:val="20"/>
        </w:rPr>
        <w:t xml:space="preserve"> - Cartera por edades</w:t>
      </w:r>
      <w:bookmarkEnd w:id="42"/>
    </w:p>
    <w:tbl>
      <w:tblPr>
        <w:tblW w:w="8471" w:type="dxa"/>
        <w:jc w:val="center"/>
        <w:tblCellMar>
          <w:left w:w="70" w:type="dxa"/>
          <w:right w:w="70" w:type="dxa"/>
        </w:tblCellMar>
        <w:tblLook w:val="04A0" w:firstRow="1" w:lastRow="0" w:firstColumn="1" w:lastColumn="0" w:noHBand="0" w:noVBand="1"/>
      </w:tblPr>
      <w:tblGrid>
        <w:gridCol w:w="4774"/>
        <w:gridCol w:w="1753"/>
        <w:gridCol w:w="1944"/>
      </w:tblGrid>
      <w:tr w:rsidR="00B52A9F" w:rsidRPr="00CC51E2" w:rsidTr="00FB40A1">
        <w:trPr>
          <w:trHeight w:val="186"/>
          <w:jc w:val="center"/>
        </w:trPr>
        <w:tc>
          <w:tcPr>
            <w:tcW w:w="847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CUADRO No.1. CARTERA POR EDADES A 30 DE SEPTIEMBRE DE 2017</w:t>
            </w:r>
          </w:p>
        </w:tc>
      </w:tr>
      <w:tr w:rsidR="00B52A9F" w:rsidRPr="00CC51E2" w:rsidTr="00FB40A1">
        <w:trPr>
          <w:trHeight w:val="363"/>
          <w:jc w:val="center"/>
        </w:trPr>
        <w:tc>
          <w:tcPr>
            <w:tcW w:w="4774" w:type="dxa"/>
            <w:tcBorders>
              <w:top w:val="nil"/>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753" w:type="dxa"/>
            <w:tcBorders>
              <w:top w:val="nil"/>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CANTIDAD DEUDORES</w:t>
            </w:r>
          </w:p>
        </w:tc>
        <w:tc>
          <w:tcPr>
            <w:tcW w:w="1944"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VALOR TOTAL CARTERA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 día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57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$ 252.990.828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1 - 3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62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$ 336.995.492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4 - 6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29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$ 174.750.161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7 - 12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49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$ 247.955.978 </w:t>
            </w:r>
          </w:p>
        </w:tc>
      </w:tr>
      <w:tr w:rsidR="00B52A9F" w:rsidRPr="00CC51E2" w:rsidTr="00FB40A1">
        <w:trPr>
          <w:trHeight w:val="186"/>
          <w:jc w:val="center"/>
        </w:trPr>
        <w:tc>
          <w:tcPr>
            <w:tcW w:w="4774" w:type="dxa"/>
            <w:tcBorders>
              <w:top w:val="nil"/>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Más de 12 Meses de Antigüedad de la Mora</w:t>
            </w:r>
          </w:p>
        </w:tc>
        <w:tc>
          <w:tcPr>
            <w:tcW w:w="1753" w:type="dxa"/>
            <w:tcBorders>
              <w:top w:val="nil"/>
              <w:left w:val="nil"/>
              <w:bottom w:val="nil"/>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1.036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$ 22.826.142.856 </w:t>
            </w:r>
          </w:p>
        </w:tc>
      </w:tr>
      <w:tr w:rsidR="00B52A9F" w:rsidRPr="00CC51E2" w:rsidTr="00FB40A1">
        <w:trPr>
          <w:trHeight w:val="186"/>
          <w:jc w:val="center"/>
        </w:trPr>
        <w:tc>
          <w:tcPr>
            <w:tcW w:w="4774"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TOTAL CARTERA </w:t>
            </w:r>
          </w:p>
        </w:tc>
        <w:tc>
          <w:tcPr>
            <w:tcW w:w="1753" w:type="dxa"/>
            <w:tcBorders>
              <w:top w:val="single" w:sz="8" w:space="0" w:color="auto"/>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1.233   </w:t>
            </w:r>
          </w:p>
        </w:tc>
        <w:tc>
          <w:tcPr>
            <w:tcW w:w="1944" w:type="dxa"/>
            <w:tcBorders>
              <w:top w:val="single" w:sz="8" w:space="0" w:color="auto"/>
              <w:left w:val="nil"/>
              <w:bottom w:val="single" w:sz="8" w:space="0" w:color="auto"/>
              <w:right w:val="single" w:sz="8"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23.838.835.315   </w:t>
            </w:r>
          </w:p>
        </w:tc>
      </w:tr>
    </w:tbl>
    <w:p w:rsidR="00B52A9F" w:rsidRPr="00CC51E2" w:rsidRDefault="00B52A9F" w:rsidP="00B52A9F">
      <w:pPr>
        <w:spacing w:after="0" w:line="240" w:lineRule="auto"/>
        <w:ind w:left="360"/>
        <w:jc w:val="center"/>
        <w:rPr>
          <w:rFonts w:ascii="Arial" w:hAnsi="Arial" w:cs="Arial"/>
          <w:sz w:val="20"/>
          <w:szCs w:val="20"/>
          <w:lang w:val="es-ES"/>
        </w:rPr>
      </w:pPr>
      <w:r w:rsidRPr="00CC51E2">
        <w:rPr>
          <w:rFonts w:ascii="Arial" w:eastAsia="Times New Roman" w:hAnsi="Arial" w:cs="Arial"/>
          <w:b/>
          <w:bCs/>
          <w:color w:val="000000"/>
          <w:sz w:val="20"/>
          <w:szCs w:val="20"/>
          <w:lang w:val="es-ES" w:eastAsia="es-ES"/>
        </w:rPr>
        <w:t>Fuente:</w:t>
      </w:r>
      <w:r w:rsidRPr="00CC51E2">
        <w:rPr>
          <w:rFonts w:ascii="Arial" w:eastAsia="Times New Roman" w:hAnsi="Arial" w:cs="Arial"/>
          <w:color w:val="000000"/>
          <w:sz w:val="20"/>
          <w:szCs w:val="20"/>
          <w:lang w:val="es-ES" w:eastAsia="es-ES"/>
        </w:rPr>
        <w:t xml:space="preserve"> Balance General – Subdirección Financiera</w:t>
      </w:r>
    </w:p>
    <w:p w:rsidR="00B52A9F" w:rsidRPr="00CC51E2" w:rsidRDefault="00B52A9F" w:rsidP="00B52A9F">
      <w:pPr>
        <w:spacing w:after="0" w:line="240" w:lineRule="auto"/>
        <w:ind w:left="360"/>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el periodo analizado la causación de intereses corrientes y moratorios (incluidas las primas de seguros), en promedio fue de $ 146 millones mensuales, cifra que al ser comparada con el recaudo promedio mensual ($ 55 millones), estas variaciones progresivas hacen que la cartera aumente en el balance, sin que esto signifique un activo productivo para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la contabilidad se registran otras cuentas por cobrar que corresponde a otros deudores que no se encuentran registradas en el aplicativo de cartera porque en el momento en que se generaron, la CVP no otorgaba préstamos. Dichas obligaciones se encuentran distribuidas, de acuerdo como se muestra en la siguiente tabla: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 </w:t>
      </w:r>
    </w:p>
    <w:p w:rsidR="00B52A9F" w:rsidRPr="00CC51E2" w:rsidRDefault="00B52A9F" w:rsidP="00B52A9F">
      <w:pPr>
        <w:pStyle w:val="Descripcin"/>
        <w:keepNext/>
        <w:spacing w:after="0"/>
        <w:jc w:val="center"/>
        <w:rPr>
          <w:rFonts w:ascii="Arial" w:hAnsi="Arial" w:cs="Arial"/>
          <w:color w:val="auto"/>
          <w:sz w:val="20"/>
          <w:szCs w:val="20"/>
        </w:rPr>
      </w:pPr>
      <w:bookmarkStart w:id="43" w:name="_Toc499197855"/>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10</w:t>
      </w:r>
      <w:r w:rsidRPr="00CC51E2">
        <w:rPr>
          <w:rFonts w:ascii="Arial" w:hAnsi="Arial" w:cs="Arial"/>
          <w:color w:val="auto"/>
          <w:sz w:val="20"/>
          <w:szCs w:val="20"/>
        </w:rPr>
        <w:fldChar w:fldCharType="end"/>
      </w:r>
      <w:r w:rsidRPr="00CC51E2">
        <w:rPr>
          <w:rFonts w:ascii="Arial" w:hAnsi="Arial" w:cs="Arial"/>
          <w:color w:val="auto"/>
          <w:sz w:val="20"/>
          <w:szCs w:val="20"/>
        </w:rPr>
        <w:t xml:space="preserve"> - Otras cuentas por cobrar</w:t>
      </w:r>
      <w:bookmarkEnd w:id="43"/>
    </w:p>
    <w:tbl>
      <w:tblPr>
        <w:tblW w:w="8691" w:type="dxa"/>
        <w:jc w:val="center"/>
        <w:tblCellMar>
          <w:left w:w="70" w:type="dxa"/>
          <w:right w:w="70" w:type="dxa"/>
        </w:tblCellMar>
        <w:tblLook w:val="04A0" w:firstRow="1" w:lastRow="0" w:firstColumn="1" w:lastColumn="0" w:noHBand="0" w:noVBand="1"/>
      </w:tblPr>
      <w:tblGrid>
        <w:gridCol w:w="4753"/>
        <w:gridCol w:w="2179"/>
        <w:gridCol w:w="1759"/>
      </w:tblGrid>
      <w:tr w:rsidR="00B52A9F" w:rsidRPr="00CC51E2" w:rsidTr="00FB40A1">
        <w:trPr>
          <w:trHeight w:val="156"/>
          <w:jc w:val="center"/>
        </w:trPr>
        <w:tc>
          <w:tcPr>
            <w:tcW w:w="869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CUADRO No. 2. OTRAS OBLIGACIONES CON CORTE AL 30 DE SEPTIEMBRE DE 2017</w:t>
            </w:r>
          </w:p>
        </w:tc>
      </w:tr>
      <w:tr w:rsidR="00B52A9F" w:rsidRPr="00CC51E2" w:rsidTr="00FB40A1">
        <w:trPr>
          <w:trHeight w:val="452"/>
          <w:jc w:val="center"/>
        </w:trPr>
        <w:tc>
          <w:tcPr>
            <w:tcW w:w="4753" w:type="dxa"/>
            <w:tcBorders>
              <w:top w:val="nil"/>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2179" w:type="dxa"/>
            <w:tcBorders>
              <w:top w:val="nil"/>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CANTIDAD DEUDORES</w:t>
            </w:r>
          </w:p>
        </w:tc>
        <w:tc>
          <w:tcPr>
            <w:tcW w:w="175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VALOR TOTAL CARTERA </w:t>
            </w:r>
          </w:p>
        </w:tc>
      </w:tr>
      <w:tr w:rsidR="00B52A9F" w:rsidRPr="00CC51E2" w:rsidTr="00FB40A1">
        <w:trPr>
          <w:trHeight w:val="148"/>
          <w:jc w:val="center"/>
        </w:trPr>
        <w:tc>
          <w:tcPr>
            <w:tcW w:w="475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MULTAS Y SANCIONES IMPUESTAS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   </w:t>
            </w:r>
          </w:p>
        </w:tc>
        <w:tc>
          <w:tcPr>
            <w:tcW w:w="1759" w:type="dxa"/>
            <w:tcBorders>
              <w:top w:val="single" w:sz="4" w:space="0" w:color="auto"/>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$ 55.118.821 </w:t>
            </w:r>
          </w:p>
        </w:tc>
      </w:tr>
      <w:tr w:rsidR="00B52A9F" w:rsidRPr="00CC51E2" w:rsidTr="00FB40A1">
        <w:trPr>
          <w:trHeight w:val="148"/>
          <w:jc w:val="center"/>
        </w:trPr>
        <w:tc>
          <w:tcPr>
            <w:tcW w:w="4753" w:type="dxa"/>
            <w:tcBorders>
              <w:top w:val="nil"/>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OTRAS OBLIGACIONES</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$ 18.066.763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CARTERA DE RIBERAS DE OCCIDENTE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31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$ 186.723.168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CARTERA CARACOL (CONV -FONADE)</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$ 44.442.300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CARTERA ARBORIZADORA ALTA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$ 6.071.800 </w:t>
            </w:r>
          </w:p>
        </w:tc>
      </w:tr>
      <w:tr w:rsidR="00B52A9F" w:rsidRPr="00CC51E2" w:rsidTr="00FB40A1">
        <w:trPr>
          <w:trHeight w:val="156"/>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OTROS DEUDORES DE CARTERA </w:t>
            </w:r>
          </w:p>
        </w:tc>
        <w:tc>
          <w:tcPr>
            <w:tcW w:w="2179" w:type="dxa"/>
            <w:tcBorders>
              <w:top w:val="nil"/>
              <w:left w:val="nil"/>
              <w:bottom w:val="nil"/>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   </w:t>
            </w:r>
          </w:p>
        </w:tc>
        <w:tc>
          <w:tcPr>
            <w:tcW w:w="1759" w:type="dxa"/>
            <w:tcBorders>
              <w:top w:val="nil"/>
              <w:left w:val="nil"/>
              <w:bottom w:val="nil"/>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$ 20.907.576 </w:t>
            </w:r>
          </w:p>
        </w:tc>
      </w:tr>
      <w:tr w:rsidR="00B52A9F" w:rsidRPr="00CC51E2" w:rsidTr="00FB40A1">
        <w:trPr>
          <w:trHeight w:val="156"/>
          <w:jc w:val="center"/>
        </w:trPr>
        <w:tc>
          <w:tcPr>
            <w:tcW w:w="475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TOTAL </w:t>
            </w:r>
          </w:p>
        </w:tc>
        <w:tc>
          <w:tcPr>
            <w:tcW w:w="2179" w:type="dxa"/>
            <w:tcBorders>
              <w:top w:val="single" w:sz="8" w:space="0" w:color="auto"/>
              <w:left w:val="nil"/>
              <w:bottom w:val="single" w:sz="8"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w:t>
            </w:r>
          </w:p>
        </w:tc>
        <w:tc>
          <w:tcPr>
            <w:tcW w:w="1759" w:type="dxa"/>
            <w:tcBorders>
              <w:top w:val="single" w:sz="8" w:space="0" w:color="auto"/>
              <w:left w:val="nil"/>
              <w:bottom w:val="single" w:sz="8"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$ 331.330.428 </w:t>
            </w:r>
          </w:p>
        </w:tc>
      </w:tr>
    </w:tbl>
    <w:p w:rsidR="00B52A9F" w:rsidRPr="00CC51E2" w:rsidRDefault="00B52A9F" w:rsidP="00B52A9F">
      <w:pPr>
        <w:spacing w:after="0" w:line="240" w:lineRule="auto"/>
        <w:ind w:left="360"/>
        <w:jc w:val="center"/>
        <w:rPr>
          <w:rFonts w:ascii="Arial" w:hAnsi="Arial" w:cs="Arial"/>
          <w:sz w:val="20"/>
          <w:szCs w:val="20"/>
          <w:lang w:val="es-ES"/>
        </w:rPr>
      </w:pPr>
      <w:r w:rsidRPr="00CC51E2">
        <w:rPr>
          <w:rFonts w:ascii="Arial" w:eastAsia="Times New Roman" w:hAnsi="Arial" w:cs="Arial"/>
          <w:b/>
          <w:bCs/>
          <w:color w:val="000000"/>
          <w:sz w:val="20"/>
          <w:szCs w:val="20"/>
          <w:lang w:val="es-ES" w:eastAsia="es-ES"/>
        </w:rPr>
        <w:t>Fuente:</w:t>
      </w:r>
      <w:r w:rsidRPr="00CC51E2">
        <w:rPr>
          <w:rFonts w:ascii="Arial" w:eastAsia="Times New Roman" w:hAnsi="Arial" w:cs="Arial"/>
          <w:color w:val="000000"/>
          <w:sz w:val="20"/>
          <w:szCs w:val="20"/>
          <w:lang w:val="es-ES" w:eastAsia="es-ES"/>
        </w:rPr>
        <w:t xml:space="preserve"> Balance General – Subdirección Financiera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Las multas y sanciones son a los contratistas que en la medida que se vayan liquidando se solucionaran, otras obligaciones se les viene realizando la gestión para el saneamiento o recaudo, la cartera de Riberas de Occidente está conformada por recursos propios, subsidios de vivienda y valores únicos de reconocimiento, las cuales se está revisando la información para determinar las acciones a seguir. La cartera de Caracol, Arborizadora Alta y otros es por subsidio familiar de vivienda.</w:t>
      </w:r>
    </w:p>
    <w:p w:rsidR="00CC51E2" w:rsidRDefault="00CC51E2">
      <w:pPr>
        <w:spacing w:after="0" w:line="240" w:lineRule="auto"/>
        <w:rPr>
          <w:rFonts w:ascii="Arial" w:hAnsi="Arial" w:cs="Arial"/>
          <w:sz w:val="20"/>
          <w:szCs w:val="20"/>
        </w:rPr>
      </w:pPr>
      <w:r>
        <w:rPr>
          <w:rFonts w:ascii="Arial" w:hAnsi="Arial" w:cs="Arial"/>
          <w:sz w:val="20"/>
          <w:szCs w:val="20"/>
        </w:rPr>
        <w:br w:type="page"/>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57468E">
      <w:pPr>
        <w:pStyle w:val="Prrafodelista"/>
        <w:numPr>
          <w:ilvl w:val="1"/>
          <w:numId w:val="50"/>
        </w:numPr>
        <w:spacing w:after="0"/>
        <w:jc w:val="both"/>
        <w:rPr>
          <w:rFonts w:ascii="Arial" w:hAnsi="Arial" w:cs="Arial"/>
          <w:b/>
          <w:sz w:val="20"/>
          <w:szCs w:val="20"/>
        </w:rPr>
      </w:pPr>
      <w:r w:rsidRPr="00CC51E2">
        <w:rPr>
          <w:rFonts w:ascii="Arial" w:hAnsi="Arial" w:cs="Arial"/>
          <w:b/>
          <w:sz w:val="20"/>
          <w:szCs w:val="20"/>
        </w:rPr>
        <w:t>LOGROS</w:t>
      </w:r>
    </w:p>
    <w:p w:rsidR="00B52A9F" w:rsidRPr="00CC51E2" w:rsidRDefault="00B52A9F" w:rsidP="00B52A9F">
      <w:pPr>
        <w:spacing w:after="0"/>
        <w:ind w:left="360"/>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Recaudo de $ 691 millones durante la vigencia 2016 y de $ 460 millones en lo corrido del año 2017 (01 de enero al 30 de septiembre) incluido un ingreso en cuantía de $ 14,3 millones por el reconocimiento y pago de un pasivo exigible (Valor Único de Reconocimiento) de Riberas de Occidente.</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Exclusión de 342 partidas de deudores de los estados financieros que se registraban en las Cuentas de Orden por una cuantía de $ 4.488 millones.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Emisión de 166 paz y salvos y 224 fichas financieras durante el periodo de análisis como insumo de los procesos de titulación predial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Revisión de 1.280 terceros que corresponden a deudores cuyas obligaciones de cartera se encontraban registradas en Balance a 31-Diciembre-2016, los cuales fueron consultados en el RUAF, sistema de clasificación de información para los datos concernientes con salud, pensiones, riesgos profesionales, subsidio familiar, cesantías y beneficiarios, en el RUES, Registro Único Empresarial que integra los Registros Públicos Mercantil y de Registro de Proponentes, en el VUR, Ventanilla Única de Registro Inmobiliario y en el SISBEN, con el propósito de conocer el estado de cada tercero e información de índole socio económico.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Actualización del Reglamento interno de cartera que había sido adoptado de conformidad con el Acuerdo 004 del 19-Abr-2007 de la entonces Junta Directiva de la CVP. Actualmente se está haciendo la revisión final del proyecto antes de ser sometido a consideración de las instancias pertinentes para su aprobación (Comité Técnico de Sostenibilidad Contable y Consejo Directivo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un cruce de las bases de datos de la correspondencia que fue enviada en el mes de diciembre del año 2016 para determinar las direcciones donde fueron entregadas las comunicaciones, con el fin de evitar costos en la gestión de cobro persuasivo.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jc w:val="both"/>
        <w:rPr>
          <w:rFonts w:ascii="Arial" w:hAnsi="Arial" w:cs="Arial"/>
          <w:sz w:val="20"/>
          <w:szCs w:val="20"/>
          <w:lang w:val="es-ES"/>
        </w:rPr>
      </w:pPr>
      <w:r w:rsidRPr="00CC51E2">
        <w:rPr>
          <w:rFonts w:ascii="Arial" w:hAnsi="Arial" w:cs="Arial"/>
          <w:sz w:val="20"/>
          <w:szCs w:val="20"/>
        </w:rPr>
        <w:t>Se solicitó a entidades como el Ministerio de Salud, Secretaría de Salud y Planeación de Bogotá información relacionada con la dirección y teléfono para su ubicación.</w:t>
      </w:r>
    </w:p>
    <w:p w:rsidR="00B52A9F" w:rsidRPr="00CC51E2" w:rsidRDefault="00B52A9F" w:rsidP="00B52A9F">
      <w:pPr>
        <w:pStyle w:val="Prrafodelista"/>
        <w:ind w:left="0"/>
        <w:jc w:val="both"/>
        <w:rPr>
          <w:rFonts w:ascii="Arial" w:hAnsi="Arial" w:cs="Arial"/>
          <w:sz w:val="20"/>
          <w:szCs w:val="20"/>
          <w:lang w:val="es-ES"/>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Diseño de un modelo en Excel para el cálculo del deterioro de cartera, bajo el nuevo marco normativo contable, basado en la identificación y valoración de riesgos de cartera, de acuerdo con la mora, los intereses de mora y la prescripción.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Elaboración de un inventario de obligaciones constituidas a través de créditos hipotecarios. En la base se advierte el número de copia de cada escritura y si esta se encuentra registrada en la oficina de registro de instrumentos públicos. El inventario se conformó a partir de la información disponible de escrituración y se obtuvo una copia escaneada de los folios que reposaban en los expedientes disponibles salvando cada escritura en formato PDF. De 730 escrituras, 666 se encuentran registradas en la Oficina de Registro de Instrumentos Públicos de conformidad con el certificado escaneado y/o impreso que reposa en el expediente, con la salvedad de que hay coincidencia de direcciones en 465 casos y en 197 no corresponde fielmente la dirección pero puede obedecer a un cambio de nomenclatura y en 68 casos está pendiente la verificación en la Ventanilla Única de Registro, VUR. De los 522 restantes, 160 no tienen copia escaneada de la escritura pero se validó a través del VUR que fueron registradas, en 94 hay registro pero no hay coincidencia de dirección </w:t>
      </w:r>
      <w:r w:rsidRPr="00CC51E2">
        <w:rPr>
          <w:rFonts w:ascii="Arial" w:hAnsi="Arial" w:cs="Arial"/>
          <w:sz w:val="20"/>
          <w:szCs w:val="20"/>
        </w:rPr>
        <w:lastRenderedPageBreak/>
        <w:t>presuntamente por actualización de la misma y en 268 casos no hay evidencia de registro de información en VUR. Está pendiente la validación de si se anotó en el folio de matrícula respectivo, el derecho de prenda constituido sobre el bien que vendió y/o adjudicó la CVP. Respecto de las copias de las escrituras para establecer si las mismas prestan mérito ejecutivo, se obtuvo lo siguiente: De las 730 escrituras, 586 corresponden a primeras copias, 103 a segundas copias, 21 a terceras copias, 3 a cuartas copias y 17 donde no fue posible establecer el número de copia con la información disponible.</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Análisis de la información de cartera con corte a 30 de septiembre 2017 correspondiente a 41 partidas del balance y 21 partidas que se encontraban en cuentas de orden (deudoras) correspondientes a deudores fallecidos. A partir de un cruce de información con la Secretaría de Salud, se estableció la funeraria y cementerio relativos a cada inhumado y posteriormente se contactó por teléfono a las funerarias solicitando la notaria y No. de serial del registro del fallecimiento. Posteriormente se ofició a las notarías respectivas solicitando los registros civiles de defunción agotando la consulta con los familiares del fallecido. De las 62 obligaciones 10 cancelaron, 2 se comprometieron a cancelar porque el fallecido no se encontraba asegurado, 28 se les inició la revisión documental para una posible depuración, 1 se encuentra en la aseguradora para pago y 21 fueron depurados de las cuentas de orden.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un análisis de la cartera para determinar el estado en las que se encontraban las obligaciones desde el punto de vista, financiero, administrativo y jurídico, encontrando que se les debe realizar cobro persuasivo a 631 deudores, 584 deben ser estudiadas para la depuración, 20 corresponde a Guali que por la naturaleza de los deudores se debe adelantar otras acciones y 6 fallecidos que se espera el pago de las indemnizaciones.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elaboró un plan de trabajo para adelantar la depuración, con el fin de contar con estados financieros que revelen en forma fidedigna la realidad económica, financiera y patrimonial de la Entidad, para el éxito de este proceso se debe cumplir con lo siguiente: identificación, sustentación, indagación complementaria, ficha de depuración, concepto jurídico, consolidación y organización del expediente, reunión del comité de sostenibilidad, expedición del acto administrativo, reconocimiento contable y disposición final del documento.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el plan de acción de cobro persuasivo, el cual se base en cinco pilares; Identificación de partidas a cobrar, Gestión de los deudores con dirección erradas, Gestión deudores con dirección correcta, Investigación de Bienes y Cobro Coactivo.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envió comunicación de cobro persuasivo a 337 deudores a 110 se les llamo y a 184 se solicitó información al FOSYGA, Ministerio de Salud y Protección Social, Secretarias Distritales de Planeación y Salud, adicionalmente se proyectó la carta para solicitar la indagación de bienes.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La depuración se inició con un primer grupo de 107 deudores, enviados por la Dirección de Urbanización y Titulación, de los cuales a 84 se les ha realizado la identificación, sustentación, indagación complementaria y ficha de depuración. De este primer grupo se enviaron a jurídica 13 expedientes para el concepto jurídico.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 Se realizó el primer reporte de la cartera con corte a 30 de junio de 2017, dentro del nuevo marco normativo contable, en el cual se elaboraron los flujos de caja a tasas del mercado de vivienda y se estableció la tasa de intereses efectiva de los préstamos, adicionalmente se le aplico el deterioro bajo la metodología diseñada por la CVP.</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50"/>
        </w:numPr>
        <w:spacing w:line="240" w:lineRule="auto"/>
        <w:jc w:val="both"/>
        <w:outlineLvl w:val="0"/>
        <w:rPr>
          <w:rFonts w:ascii="Arial" w:hAnsi="Arial" w:cs="Arial"/>
          <w:b/>
          <w:sz w:val="20"/>
          <w:szCs w:val="20"/>
        </w:rPr>
      </w:pPr>
      <w:bookmarkStart w:id="44" w:name="_Toc499145426"/>
      <w:r w:rsidRPr="00CC51E2">
        <w:rPr>
          <w:rFonts w:ascii="Arial" w:hAnsi="Arial" w:cs="Arial"/>
          <w:b/>
          <w:sz w:val="20"/>
          <w:szCs w:val="20"/>
        </w:rPr>
        <w:lastRenderedPageBreak/>
        <w:t>GESTIÓN TESORERÍA</w:t>
      </w:r>
      <w:bookmarkEnd w:id="44"/>
      <w:r w:rsidRPr="00CC51E2">
        <w:rPr>
          <w:rFonts w:ascii="Arial" w:hAnsi="Arial" w:cs="Arial"/>
          <w:b/>
          <w:sz w:val="20"/>
          <w:szCs w:val="20"/>
        </w:rPr>
        <w:t xml:space="preserve"> </w:t>
      </w:r>
    </w:p>
    <w:p w:rsidR="00B52A9F" w:rsidRPr="00CC51E2" w:rsidRDefault="00B52A9F" w:rsidP="00B52A9F">
      <w:pPr>
        <w:spacing w:line="240" w:lineRule="auto"/>
        <w:jc w:val="both"/>
        <w:rPr>
          <w:rFonts w:ascii="Arial" w:hAnsi="Arial" w:cs="Arial"/>
          <w:sz w:val="20"/>
          <w:szCs w:val="20"/>
        </w:rPr>
      </w:pPr>
      <w:r w:rsidRPr="00CC51E2">
        <w:rPr>
          <w:rFonts w:ascii="Arial" w:hAnsi="Arial" w:cs="Arial"/>
          <w:sz w:val="20"/>
          <w:szCs w:val="20"/>
        </w:rPr>
        <w:t>Se manejan los recursos administrados provenientes de convenios interadministrativos suscritos con los Fondos de Desarrollo Loca, Ciudad Bolívar, Santafé, San Cristóbal, Usme, Usaquén, Rafael Uribe, Secretaria Distrital de Hábitat y con IDIGER para los programas de reasentamientos, mejoramiento de barrios y mejoramiento de vivienda.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Se actualizó el proceso de Gestión de Pagos, se revisó el procedimiento de PAC y Gestión de Tesorería y se está trabajando en la depuración de la cuenta de rechazos, consignaciones sin identificar, cheque anulados.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1"/>
        <w:widowControl/>
        <w:numPr>
          <w:ilvl w:val="1"/>
          <w:numId w:val="50"/>
        </w:numPr>
        <w:suppressAutoHyphens w:val="0"/>
        <w:overflowPunct w:val="0"/>
        <w:autoSpaceDE w:val="0"/>
        <w:autoSpaceDN w:val="0"/>
        <w:adjustRightInd w:val="0"/>
        <w:spacing w:line="360" w:lineRule="auto"/>
        <w:textAlignment w:val="baseline"/>
        <w:rPr>
          <w:rFonts w:ascii="Arial" w:hAnsi="Arial" w:cs="Arial"/>
          <w:sz w:val="20"/>
          <w:szCs w:val="20"/>
        </w:rPr>
      </w:pPr>
      <w:bookmarkStart w:id="45" w:name="_Toc499145427"/>
      <w:r w:rsidRPr="00CC51E2">
        <w:rPr>
          <w:rFonts w:ascii="Arial" w:hAnsi="Arial" w:cs="Arial"/>
          <w:sz w:val="20"/>
          <w:szCs w:val="20"/>
        </w:rPr>
        <w:t>GESTIÓN CONTABILIDAD</w:t>
      </w:r>
      <w:bookmarkEnd w:id="45"/>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 xml:space="preserve">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El proceso de Saneamiento Contable ordenado por la Ley 716 de 2001, vigente hasta el 31 de diciembre de 2005, en virtud de la Ley 863 de 2003, es adelantado en la actualidad por parte de la Caja de la Vivienda Popular CVP de conformidad con lo ordenado en la Resolución 357 del 23 de julio de 2008 </w:t>
      </w:r>
      <w:r w:rsidRPr="00CC51E2">
        <w:rPr>
          <w:rFonts w:ascii="Arial" w:hAnsi="Arial" w:cs="Arial"/>
          <w:i/>
          <w:sz w:val="20"/>
          <w:szCs w:val="20"/>
        </w:rPr>
        <w:t>“Por la cual se adopta el procedimiento de control interno contable y de reporte del informe anual de evaluación a la Contaduría General de la Nación”.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De otro lado, la Contaduría General de la Nación expidió de manera conjunta con la Auditoría General de la República la Circular No. 001-17 y con la Procuraduría General de la Nación la Circular No. 002-17 con el fin de garantizar a través del representante legal la ejecución de todas las acciones administrativas para emitir estados financieros razonables.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virtud de lo anterior, se han realizado las siguientes actividades: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Revisión y análisis de los saldos del Balance General con corte al 31 de diciembre de 2016.</w:t>
      </w: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Elaboración diagnóstica de conformidad con la Fase II del Plan de Acción para la Convergencia hacia el Nuevo Marco Normativo Contable</w:t>
      </w: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Depuración de los siguientes temas:</w:t>
      </w:r>
    </w:p>
    <w:p w:rsidR="00B52A9F" w:rsidRPr="00CC51E2" w:rsidRDefault="00B52A9F" w:rsidP="00B52A9F">
      <w:pPr>
        <w:pStyle w:val="Prrafodelista"/>
        <w:spacing w:after="0" w:line="240" w:lineRule="auto"/>
        <w:ind w:left="-142"/>
        <w:jc w:val="both"/>
        <w:rPr>
          <w:rFonts w:ascii="Arial" w:hAnsi="Arial" w:cs="Arial"/>
          <w:sz w:val="20"/>
          <w:szCs w:val="20"/>
        </w:rPr>
      </w:pPr>
    </w:p>
    <w:p w:rsidR="00B52A9F" w:rsidRPr="00CC51E2" w:rsidRDefault="00B52A9F" w:rsidP="00B52A9F">
      <w:pPr>
        <w:rPr>
          <w:rFonts w:ascii="Arial" w:hAnsi="Arial" w:cs="Arial"/>
          <w:b/>
          <w:sz w:val="20"/>
          <w:szCs w:val="20"/>
        </w:rPr>
      </w:pPr>
      <w:r w:rsidRPr="00CC51E2">
        <w:rPr>
          <w:rFonts w:ascii="Arial" w:hAnsi="Arial" w:cs="Arial"/>
          <w:b/>
          <w:sz w:val="20"/>
          <w:szCs w:val="20"/>
        </w:rPr>
        <w:t>Depuración ordinaria</w:t>
      </w: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Propiedades planta y equipo no explotados $2.857.886.957</w:t>
      </w:r>
    </w:p>
    <w:p w:rsidR="00B52A9F" w:rsidRPr="00CC51E2" w:rsidRDefault="00B52A9F" w:rsidP="00B52A9F">
      <w:pPr>
        <w:pStyle w:val="Prrafodelista"/>
        <w:autoSpaceDE w:val="0"/>
        <w:autoSpaceDN w:val="0"/>
        <w:adjustRightInd w:val="0"/>
        <w:spacing w:after="0" w:line="240" w:lineRule="auto"/>
        <w:ind w:left="1776"/>
        <w:jc w:val="both"/>
        <w:rPr>
          <w:rFonts w:ascii="Arial" w:hAnsi="Arial" w:cs="Arial"/>
          <w:b/>
          <w:sz w:val="20"/>
          <w:szCs w:val="20"/>
        </w:rPr>
      </w:pP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r w:rsidRPr="00CC51E2">
        <w:rPr>
          <w:rFonts w:ascii="Arial" w:hAnsi="Arial" w:cs="Arial"/>
          <w:sz w:val="20"/>
          <w:szCs w:val="20"/>
        </w:rPr>
        <w:t>La disminución de $2.857.886.957 de la Subcuenta 163701 Terrenos de la cuenta PROPIEDADES, PLANTA Y EQUIPO NO EXPLOTADO, en la cual se reflejaban los predios titulados a nombre de la CVP en virtud del proceso de reasentamiento y adjudicación del VUR. La Subdirección Financiera, área de Contabilidad, mediante acta de depuración ordinaria No. 10 de fecha 18 de diciembre de 2016 retiró de la Contabilidad ciento setenta y dos partidas (172) partidas por valor de $2.857.886.957.</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Materiales y suministros $370.921.320</w:t>
      </w:r>
    </w:p>
    <w:p w:rsidR="00B52A9F" w:rsidRPr="00CC51E2" w:rsidRDefault="00B52A9F" w:rsidP="00B52A9F">
      <w:pPr>
        <w:pStyle w:val="Prrafodelista"/>
        <w:ind w:left="709"/>
        <w:rPr>
          <w:rFonts w:ascii="Arial" w:hAnsi="Arial" w:cs="Arial"/>
          <w:b/>
          <w:i/>
          <w:sz w:val="20"/>
          <w:szCs w:val="20"/>
        </w:rPr>
      </w:pPr>
    </w:p>
    <w:p w:rsidR="00B52A9F" w:rsidRPr="00CC51E2" w:rsidRDefault="00B52A9F" w:rsidP="00B52A9F">
      <w:pPr>
        <w:pStyle w:val="Prrafodelista"/>
        <w:spacing w:after="0" w:line="240" w:lineRule="auto"/>
        <w:ind w:left="0"/>
        <w:jc w:val="both"/>
        <w:rPr>
          <w:rFonts w:ascii="Arial" w:hAnsi="Arial" w:cs="Arial"/>
          <w:sz w:val="20"/>
          <w:szCs w:val="20"/>
        </w:rPr>
      </w:pPr>
      <w:r w:rsidRPr="00CC51E2">
        <w:rPr>
          <w:rFonts w:ascii="Arial" w:hAnsi="Arial" w:cs="Arial"/>
          <w:sz w:val="20"/>
          <w:szCs w:val="20"/>
        </w:rPr>
        <w:t>En la subcuenta 191001 Materiales y suministros de la cuenta 1910 CARGOS DIFERIDOS la entidad reflejaba un valor de $370.921.320, por concepto del cableado estructurado de entidad.</w:t>
      </w:r>
    </w:p>
    <w:p w:rsidR="00B52A9F" w:rsidRPr="00CC51E2" w:rsidRDefault="00B52A9F" w:rsidP="00B52A9F">
      <w:pPr>
        <w:pStyle w:val="Prrafodelista"/>
        <w:spacing w:after="0" w:line="240" w:lineRule="auto"/>
        <w:ind w:left="0"/>
        <w:jc w:val="both"/>
        <w:rPr>
          <w:rFonts w:ascii="Arial" w:hAnsi="Arial" w:cs="Arial"/>
          <w:sz w:val="20"/>
          <w:szCs w:val="20"/>
        </w:rPr>
      </w:pPr>
    </w:p>
    <w:p w:rsidR="00B52A9F" w:rsidRPr="00CC51E2" w:rsidRDefault="00B52A9F" w:rsidP="00B52A9F">
      <w:pPr>
        <w:pStyle w:val="Prrafodelista"/>
        <w:spacing w:after="0" w:line="240" w:lineRule="auto"/>
        <w:ind w:left="0"/>
        <w:jc w:val="both"/>
        <w:rPr>
          <w:rFonts w:ascii="Arial" w:hAnsi="Arial" w:cs="Arial"/>
          <w:sz w:val="20"/>
          <w:szCs w:val="20"/>
        </w:rPr>
      </w:pPr>
      <w:r w:rsidRPr="00CC51E2">
        <w:rPr>
          <w:rFonts w:ascii="Arial" w:hAnsi="Arial" w:cs="Arial"/>
          <w:sz w:val="20"/>
          <w:szCs w:val="20"/>
        </w:rPr>
        <w:t>La Subdirección Financiera área de Contabilidad, de conformidad con el concepto No. 20140000 de 07-03-214 expedido por la Contaduría General, retira de la contabilidad $370.921.320, dando cumplimiento a la doctrina en mención de la Contaduría General de Nación.</w:t>
      </w:r>
    </w:p>
    <w:p w:rsidR="00B52A9F" w:rsidRPr="00CC51E2" w:rsidRDefault="00B52A9F" w:rsidP="00B52A9F">
      <w:pPr>
        <w:pStyle w:val="Prrafodelista"/>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Cuentas de orden deudoras Responsabilidades en proceso $54.091.016.75</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subcuenta 836102 en proceso ante autoridad competente reflejaba un saldo de $</w:t>
      </w:r>
      <w:r w:rsidRPr="00CC51E2">
        <w:rPr>
          <w:rFonts w:ascii="Arial" w:hAnsi="Arial" w:cs="Arial"/>
          <w:b/>
          <w:i/>
          <w:sz w:val="20"/>
          <w:szCs w:val="20"/>
        </w:rPr>
        <w:t>54.091.016.75</w:t>
      </w:r>
      <w:r w:rsidRPr="00CC51E2">
        <w:rPr>
          <w:rFonts w:ascii="Arial" w:hAnsi="Arial" w:cs="Arial"/>
          <w:sz w:val="20"/>
          <w:szCs w:val="20"/>
        </w:rPr>
        <w:t>, con el siguiente detalle:</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Luis Combariza Santos </w:t>
      </w:r>
      <w:r w:rsidRPr="00CC51E2">
        <w:rPr>
          <w:rFonts w:ascii="Arial" w:hAnsi="Arial" w:cs="Arial"/>
          <w:color w:val="000000"/>
          <w:sz w:val="20"/>
          <w:szCs w:val="20"/>
        </w:rPr>
        <w:tab/>
      </w:r>
      <w:r w:rsidRPr="00CC51E2">
        <w:rPr>
          <w:rFonts w:ascii="Arial" w:hAnsi="Arial" w:cs="Arial"/>
          <w:color w:val="000000"/>
          <w:sz w:val="20"/>
          <w:szCs w:val="20"/>
        </w:rPr>
        <w:tab/>
      </w:r>
      <w:r w:rsidRPr="00CC51E2">
        <w:rPr>
          <w:rFonts w:ascii="Arial" w:hAnsi="Arial" w:cs="Arial"/>
          <w:color w:val="000000"/>
          <w:sz w:val="20"/>
          <w:szCs w:val="20"/>
        </w:rPr>
        <w:tab/>
        <w:t>$      193.601.75</w:t>
      </w: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Rodolfo Antonio Rodríguez Beltrán </w:t>
      </w:r>
      <w:r w:rsidRPr="00CC51E2">
        <w:rPr>
          <w:rFonts w:ascii="Arial" w:hAnsi="Arial" w:cs="Arial"/>
          <w:color w:val="000000"/>
          <w:sz w:val="20"/>
          <w:szCs w:val="20"/>
        </w:rPr>
        <w:tab/>
      </w:r>
      <w:r w:rsidRPr="00CC51E2">
        <w:rPr>
          <w:rFonts w:ascii="Arial" w:hAnsi="Arial" w:cs="Arial"/>
          <w:color w:val="000000"/>
          <w:sz w:val="20"/>
          <w:szCs w:val="20"/>
        </w:rPr>
        <w:tab/>
        <w:t>$ 52.290.312.00</w:t>
      </w: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Corporación Fejaza Ltda. Valor </w:t>
      </w:r>
      <w:r w:rsidRPr="00CC51E2">
        <w:rPr>
          <w:rFonts w:ascii="Arial" w:hAnsi="Arial" w:cs="Arial"/>
          <w:color w:val="000000"/>
          <w:sz w:val="20"/>
          <w:szCs w:val="20"/>
        </w:rPr>
        <w:tab/>
      </w:r>
      <w:r w:rsidRPr="00CC51E2">
        <w:rPr>
          <w:rFonts w:ascii="Arial" w:hAnsi="Arial" w:cs="Arial"/>
          <w:color w:val="000000"/>
          <w:sz w:val="20"/>
          <w:szCs w:val="20"/>
        </w:rPr>
        <w:tab/>
        <w:t>$   1.607.103.00</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color w:val="000000"/>
          <w:sz w:val="20"/>
          <w:szCs w:val="20"/>
        </w:rPr>
        <w:t xml:space="preserve">La Subdirección Financiera área de Contabilidad, de conformidad con la comunicación de fecha 29 de diciembre de 2016, suscrita por el Subdirector del Proceso de Responsabilidad Fiscal de la Contraloría de Bogotá, doctor Luis Guillermo Ramos Vergara, en la cual se indica que no se adelanta ninguna actuación procesal contra las personas mencionadas anteriormente, procedió a retirar de la contabilidad tales valores, quedando soportado en el </w:t>
      </w:r>
      <w:r w:rsidRPr="00CC51E2">
        <w:rPr>
          <w:rFonts w:ascii="Arial" w:hAnsi="Arial" w:cs="Arial"/>
          <w:sz w:val="20"/>
          <w:szCs w:val="20"/>
        </w:rPr>
        <w:t>Acta No. 12 del 30 de diciembre 2016.</w:t>
      </w:r>
    </w:p>
    <w:p w:rsidR="00B52A9F" w:rsidRPr="00CC51E2" w:rsidRDefault="00B52A9F" w:rsidP="00B52A9F">
      <w:pPr>
        <w:spacing w:after="0" w:line="240" w:lineRule="auto"/>
        <w:jc w:val="both"/>
        <w:rPr>
          <w:rFonts w:ascii="Arial" w:hAnsi="Arial" w:cs="Arial"/>
          <w:b/>
          <w:color w:val="000000"/>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 8306 bienes entregados en custodia $1.290.160.877.14</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Caja de la Vivienda retiró de la contabilidad $1.290.160.877.14, de acuerdo con el Acta de liquidación definitiva del Convenio de Cooperación No. 073 de 2016, celebrado entre la Caja de Vivienda Popular y la Organización de los Estados Iberoamericanos para la Educación, la Ciencia y la Cultura OIE, firmada el 13 de febrero de 2009.</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 8315 activos retirados $4.487.937.448.60</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b/>
          <w:sz w:val="20"/>
          <w:szCs w:val="20"/>
        </w:rPr>
      </w:pP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Caja de la Vivienda retira de la contabilidad $4.487.937.448.60, de la Subcuenta 831536 Deudores, dado que los terceros objeto de depuración de cartera no contaban con documento idóneo, según acta de depuración contable ordinaria No. 14 de marzo 10 de 2017, la cual se encuentra soportada en la resolución 1106 del 30 de septiembre de 2011, modificada por la resolución 617 del 30 de septiembre de 2013, mediante la cual se amplía el termino de registro en las cuentas de orden por dos (2) años.</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 9190 otras responsabilidades contingentes $34.852.050.000</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r w:rsidRPr="00CC51E2">
        <w:rPr>
          <w:rFonts w:ascii="Arial" w:hAnsi="Arial" w:cs="Arial"/>
          <w:sz w:val="20"/>
          <w:szCs w:val="20"/>
        </w:rPr>
        <w:t xml:space="preserve">La subcuenta 919090 Otras Responsabilidades contingentes, reflejaba un saldo de $34.852.050.000 la cual fue depurada de conformidad con lo estipulado en el Acta de reunión de fecha 16 de diciembre de 2016. </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Bienes inmuebles</w:t>
      </w:r>
    </w:p>
    <w:p w:rsidR="00B52A9F" w:rsidRPr="00CC51E2" w:rsidRDefault="00B52A9F" w:rsidP="00B52A9F">
      <w:pPr>
        <w:pStyle w:val="Textoindependiente"/>
        <w:rPr>
          <w:rFonts w:ascii="Arial" w:hAnsi="Arial" w:cs="Arial"/>
          <w:color w:val="000000"/>
          <w:sz w:val="20"/>
          <w:szCs w:val="20"/>
          <w:lang w:val="es-ES"/>
        </w:rPr>
      </w:pPr>
      <w:r w:rsidRPr="00CC51E2">
        <w:rPr>
          <w:rFonts w:ascii="Arial" w:hAnsi="Arial" w:cs="Arial"/>
          <w:color w:val="000000"/>
          <w:sz w:val="20"/>
          <w:szCs w:val="20"/>
        </w:rPr>
        <w:t>Con el fin de reflejar en la contabilidad la realidad económica en relación con los bienes inmuebles se realizó Comité de Sostenibilidad Contable, el 13 de febrero de 2017, en el cual se trató el tema Depuración de bienes inmuebles, del cual quedaron las siguientes conclusiones y recomendaciones:</w:t>
      </w:r>
      <w:r w:rsidRPr="00CC51E2">
        <w:rPr>
          <w:rFonts w:ascii="Arial" w:hAnsi="Arial" w:cs="Arial"/>
          <w:color w:val="000000"/>
          <w:sz w:val="20"/>
          <w:szCs w:val="20"/>
          <w:lang w:val="es-ES"/>
        </w:rPr>
        <w:t xml:space="preserve"> </w:t>
      </w:r>
    </w:p>
    <w:p w:rsidR="00B52A9F" w:rsidRPr="00CC51E2" w:rsidRDefault="00B52A9F" w:rsidP="0057468E">
      <w:pPr>
        <w:pStyle w:val="Textoindependiente"/>
        <w:widowControl/>
        <w:numPr>
          <w:ilvl w:val="0"/>
          <w:numId w:val="64"/>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Retiro de $22.450.506,00 de la cuenta 1-5-10 Mercancías en existencias.</w:t>
      </w:r>
    </w:p>
    <w:p w:rsidR="00B52A9F" w:rsidRPr="00CC51E2" w:rsidRDefault="00B52A9F" w:rsidP="0057468E">
      <w:pPr>
        <w:pStyle w:val="Textoindependiente"/>
        <w:widowControl/>
        <w:numPr>
          <w:ilvl w:val="0"/>
          <w:numId w:val="64"/>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239 predios por valor de $11.734.567,00 a la cuenta 1-5-10 Mercancías en existencias, 84 predios por valor de $7.513.286,00 a la cuenta 1-6-37 Propiedades, Planta y equipos no explotados, 201 predios a cuentas de orden, 125 predios como revelaciones, 37 predios a la cuenta 1-9 Fiducias, 1 predio a la cuenta 1-6-40 Edificio Sede, y 14 predios que no se reportaron en contabilidad dado que no tienen medición.</w:t>
      </w:r>
    </w:p>
    <w:p w:rsidR="00B52A9F" w:rsidRPr="00CC51E2" w:rsidRDefault="00B52A9F" w:rsidP="00B52A9F">
      <w:pPr>
        <w:jc w:val="both"/>
        <w:rPr>
          <w:rFonts w:ascii="Arial" w:hAnsi="Arial" w:cs="Arial"/>
          <w:b/>
          <w:sz w:val="20"/>
          <w:szCs w:val="20"/>
        </w:rPr>
      </w:pPr>
      <w:r w:rsidRPr="00CC51E2">
        <w:rPr>
          <w:rFonts w:ascii="Arial" w:hAnsi="Arial" w:cs="Arial"/>
          <w:b/>
          <w:sz w:val="20"/>
          <w:szCs w:val="20"/>
        </w:rPr>
        <w:lastRenderedPageBreak/>
        <w:t>Depuración contable de la cuenta 2453 recursos en administración</w:t>
      </w:r>
    </w:p>
    <w:p w:rsidR="00B52A9F" w:rsidRPr="00CC51E2" w:rsidRDefault="00B52A9F" w:rsidP="00B52A9F">
      <w:pPr>
        <w:pStyle w:val="Textoindependiente"/>
        <w:rPr>
          <w:rFonts w:ascii="Arial" w:hAnsi="Arial" w:cs="Arial"/>
          <w:color w:val="000000"/>
          <w:sz w:val="20"/>
          <w:szCs w:val="20"/>
        </w:rPr>
      </w:pPr>
      <w:r w:rsidRPr="00CC51E2">
        <w:rPr>
          <w:rFonts w:ascii="Arial" w:hAnsi="Arial" w:cs="Arial"/>
          <w:color w:val="000000"/>
          <w:sz w:val="20"/>
          <w:szCs w:val="20"/>
        </w:rPr>
        <w:t>Actualmente la Caja de la Vivienda Popular, está efectuando el proceso de depuración contable de 1.434 terceros agrupados en 18 proyectos con un saldo de $380.728.018,02; saldo que representa el valor consignado por personas beneficiarias de los programas misionales de la entidad, para efectuar el trámite de titulación de predios, pago de expensas para trámite de licencias para mejoramiento de vivienda y mayores valores consignados por concepto de pago de cartera y valores por concepto de consignaciones de valor de VUR, por cambio o aplazamiento en la compra de solución de vivienda inicialmente convenida, donde se viene realizando el debido proceso que permita establecer la depuración y/o devolución de los recursos.</w:t>
      </w:r>
    </w:p>
    <w:p w:rsidR="00B52A9F" w:rsidRPr="00CC51E2" w:rsidRDefault="00B52A9F" w:rsidP="00B52A9F">
      <w:pPr>
        <w:pStyle w:val="Textoindependiente"/>
        <w:rPr>
          <w:rFonts w:ascii="Arial" w:hAnsi="Arial" w:cs="Arial"/>
          <w:color w:val="000000"/>
          <w:sz w:val="20"/>
          <w:szCs w:val="20"/>
        </w:rPr>
      </w:pPr>
      <w:r w:rsidRPr="00CC51E2">
        <w:rPr>
          <w:rFonts w:ascii="Arial" w:hAnsi="Arial" w:cs="Arial"/>
          <w:color w:val="000000"/>
          <w:sz w:val="20"/>
          <w:szCs w:val="20"/>
        </w:rPr>
        <w:t>Para el siguiente Comité Técnico de Sostenibilidad Contable, el cual será llevado a cabo el dia 8 de noviembre de 2017, se van a presentar las siguientes recomendaciones:</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Depurar 294 terceros por valor de $45.923.764,65, los cuales se notificaron ante la citación, renunciaron a los términos de ejecutoria, dejan constancia que su predio se encuentra escriturado y no se consideran con el derecho de reclamar expensa alguna a la entidad.</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Depurar 20 terceros por valor de $4.712.740,oo, los cuales se notificaron ante la citación, NO renunciaron a los términos de ejecutoria, y se les vencieron los términos para interponer algún recurso contra la entidad.</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En coordinación con la Dirección Jurídica se vienen adelantando acciones que permitan establecer el mecanismo más efectivo de notificación de los 681 terceros que NO se cuenta con dirección de correspondencia y los 228 terceros que tuvieron devolución de correspondencia (Verificación de edicto y/o acto administrativo)</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Registro contable: Registrar un debito a la cuenta 2-4-53 “Recursos Recibidos en Administración”, de la subcuenta 2-4-53-01-01 “En administración por proyecto”, y un crédito a la cuenta 3-2-08 “capital fiscal”, de la subcuenta 3-2-08-01 “capital fiscal”, auxiliar 3-2-08-01-03 “saneamiento contable y depuración”.</w:t>
      </w:r>
    </w:p>
    <w:p w:rsidR="00B52A9F" w:rsidRPr="00CC51E2" w:rsidRDefault="00B52A9F" w:rsidP="00B52A9F">
      <w:pPr>
        <w:spacing w:after="0" w:line="240" w:lineRule="auto"/>
        <w:jc w:val="both"/>
        <w:rPr>
          <w:rFonts w:ascii="Arial" w:hAnsi="Arial" w:cs="Arial"/>
          <w:b/>
          <w:sz w:val="20"/>
          <w:szCs w:val="20"/>
          <w:lang w:val="es-ES"/>
        </w:rPr>
      </w:pPr>
      <w:r w:rsidRPr="00CC51E2">
        <w:rPr>
          <w:rFonts w:ascii="Arial" w:hAnsi="Arial" w:cs="Arial"/>
          <w:b/>
          <w:sz w:val="20"/>
          <w:szCs w:val="20"/>
          <w:lang w:val="es-ES"/>
        </w:rPr>
        <w:t>PLANTA FIJA Y TEMPORAL</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lang w:val="es-ES"/>
        </w:rPr>
        <w:t>El estado actual de la planta fija y de la planta temporal, se detalla por tipo de vinculación y por vigencias así:</w:t>
      </w:r>
    </w:p>
    <w:p w:rsidR="00B52A9F" w:rsidRPr="00CC51E2" w:rsidRDefault="00B52A9F" w:rsidP="00B52A9F">
      <w:pPr>
        <w:pStyle w:val="Descripcin"/>
        <w:keepNext/>
        <w:spacing w:after="0"/>
        <w:jc w:val="center"/>
        <w:rPr>
          <w:rFonts w:ascii="Arial" w:hAnsi="Arial" w:cs="Arial"/>
          <w:color w:val="auto"/>
          <w:sz w:val="20"/>
          <w:szCs w:val="20"/>
        </w:rPr>
      </w:pPr>
      <w:bookmarkStart w:id="46" w:name="_Toc499197856"/>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11</w:t>
      </w:r>
      <w:r w:rsidRPr="00CC51E2">
        <w:rPr>
          <w:rFonts w:ascii="Arial" w:hAnsi="Arial" w:cs="Arial"/>
          <w:color w:val="auto"/>
          <w:sz w:val="20"/>
          <w:szCs w:val="20"/>
        </w:rPr>
        <w:fldChar w:fldCharType="end"/>
      </w:r>
      <w:r w:rsidRPr="00CC51E2">
        <w:rPr>
          <w:rFonts w:ascii="Arial" w:hAnsi="Arial" w:cs="Arial"/>
          <w:color w:val="auto"/>
          <w:sz w:val="20"/>
          <w:szCs w:val="20"/>
        </w:rPr>
        <w:t xml:space="preserve"> - Planta fija y temporal</w:t>
      </w:r>
      <w:bookmarkEnd w:id="46"/>
    </w:p>
    <w:tbl>
      <w:tblPr>
        <w:tblW w:w="7600" w:type="dxa"/>
        <w:jc w:val="center"/>
        <w:tblCellMar>
          <w:left w:w="70" w:type="dxa"/>
          <w:right w:w="70" w:type="dxa"/>
        </w:tblCellMar>
        <w:tblLook w:val="04A0" w:firstRow="1" w:lastRow="0" w:firstColumn="1" w:lastColumn="0" w:noHBand="0" w:noVBand="1"/>
      </w:tblPr>
      <w:tblGrid>
        <w:gridCol w:w="4080"/>
        <w:gridCol w:w="2020"/>
        <w:gridCol w:w="1500"/>
      </w:tblGrid>
      <w:tr w:rsidR="00B52A9F" w:rsidRPr="00CC51E2" w:rsidTr="00FB40A1">
        <w:trPr>
          <w:trHeight w:val="1050"/>
          <w:jc w:val="center"/>
        </w:trPr>
        <w:tc>
          <w:tcPr>
            <w:tcW w:w="4080"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TIPO DE VINCULACIÓN</w:t>
            </w:r>
          </w:p>
        </w:tc>
        <w:tc>
          <w:tcPr>
            <w:tcW w:w="202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No. DE CARGOS PROVISTOS</w:t>
            </w:r>
            <w:r w:rsidRPr="00CC51E2">
              <w:rPr>
                <w:rFonts w:ascii="Arial" w:eastAsia="Times New Roman" w:hAnsi="Arial" w:cs="Arial"/>
                <w:color w:val="000000"/>
                <w:sz w:val="18"/>
                <w:szCs w:val="20"/>
                <w:lang w:eastAsia="es-CO"/>
              </w:rPr>
              <w:br/>
              <w:t>VIGENCIA 2016</w:t>
            </w:r>
          </w:p>
        </w:tc>
        <w:tc>
          <w:tcPr>
            <w:tcW w:w="150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No. DE CARGOS PROVISTOS</w:t>
            </w:r>
            <w:r w:rsidRPr="00CC51E2">
              <w:rPr>
                <w:rFonts w:ascii="Arial" w:eastAsia="Times New Roman" w:hAnsi="Arial" w:cs="Arial"/>
                <w:color w:val="000000"/>
                <w:sz w:val="18"/>
                <w:szCs w:val="20"/>
                <w:lang w:eastAsia="es-CO"/>
              </w:rPr>
              <w:br/>
              <w:t>VIGENCIA 2017</w:t>
            </w:r>
          </w:p>
        </w:tc>
      </w:tr>
      <w:tr w:rsidR="00B52A9F" w:rsidRPr="00CC51E2" w:rsidTr="00FB40A1">
        <w:trPr>
          <w:trHeight w:val="210"/>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Libre nombramiento y remoción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13</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14</w:t>
            </w:r>
          </w:p>
        </w:tc>
      </w:tr>
      <w:tr w:rsidR="00B52A9F" w:rsidRPr="00CC51E2" w:rsidTr="00FB40A1">
        <w:trPr>
          <w:trHeight w:val="214"/>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Periodo fijo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r>
      <w:tr w:rsidR="00B52A9F" w:rsidRPr="00CC51E2" w:rsidTr="00FB40A1">
        <w:trPr>
          <w:trHeight w:val="232"/>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Funcionarios de Carrera administrativa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16</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16</w:t>
            </w:r>
          </w:p>
        </w:tc>
      </w:tr>
      <w:tr w:rsidR="00B52A9F" w:rsidRPr="00CC51E2" w:rsidTr="00FB40A1">
        <w:trPr>
          <w:trHeight w:val="222"/>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Nombramientos Provisionales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25</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26</w:t>
            </w:r>
          </w:p>
        </w:tc>
      </w:tr>
      <w:tr w:rsidR="00B52A9F" w:rsidRPr="00CC51E2" w:rsidTr="00FB40A1">
        <w:trPr>
          <w:trHeight w:val="241"/>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 xml:space="preserve">Trabajadores oficiales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w:t>
            </w:r>
          </w:p>
        </w:tc>
      </w:tr>
      <w:tr w:rsidR="00B52A9F" w:rsidRPr="00CC51E2" w:rsidTr="00FB40A1">
        <w:trPr>
          <w:trHeight w:val="244"/>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Cargos suprimidos con fuero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w:t>
            </w:r>
          </w:p>
        </w:tc>
      </w:tr>
      <w:tr w:rsidR="00B52A9F" w:rsidRPr="00CC51E2" w:rsidTr="00FB40A1">
        <w:trPr>
          <w:trHeight w:val="235"/>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 xml:space="preserve">Planta transitoria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3</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54</w:t>
            </w:r>
          </w:p>
        </w:tc>
      </w:tr>
      <w:tr w:rsidR="00B52A9F" w:rsidRPr="00CC51E2" w:rsidTr="00FB40A1">
        <w:trPr>
          <w:trHeight w:val="110"/>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Vacantes planta fija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3</w:t>
            </w:r>
          </w:p>
        </w:tc>
      </w:tr>
      <w:tr w:rsidR="00B52A9F" w:rsidRPr="00CC51E2" w:rsidTr="00FB40A1">
        <w:trPr>
          <w:trHeight w:val="420"/>
          <w:jc w:val="center"/>
        </w:trPr>
        <w:tc>
          <w:tcPr>
            <w:tcW w:w="4080" w:type="dxa"/>
            <w:tcBorders>
              <w:top w:val="nil"/>
              <w:left w:val="single" w:sz="4" w:space="0" w:color="auto"/>
              <w:bottom w:val="single" w:sz="4" w:space="0" w:color="auto"/>
              <w:right w:val="single" w:sz="4" w:space="0" w:color="auto"/>
            </w:tcBorders>
            <w:shd w:val="clear" w:color="000000" w:fill="BCD6EE"/>
            <w:noWrap/>
            <w:vAlign w:val="bottom"/>
            <w:hideMark/>
          </w:tcPr>
          <w:p w:rsidR="00B52A9F" w:rsidRPr="00CC51E2" w:rsidRDefault="00B52A9F" w:rsidP="00FB40A1">
            <w:pPr>
              <w:spacing w:after="0" w:line="240" w:lineRule="auto"/>
              <w:jc w:val="both"/>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Total: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67</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122</w:t>
            </w:r>
          </w:p>
        </w:tc>
      </w:tr>
    </w:tbl>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Gestión del Talento Humano</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621073">
      <w:pPr>
        <w:pStyle w:val="Ttulo1"/>
        <w:widowControl/>
        <w:suppressAutoHyphens w:val="0"/>
        <w:overflowPunct w:val="0"/>
        <w:autoSpaceDE w:val="0"/>
        <w:autoSpaceDN w:val="0"/>
        <w:adjustRightInd w:val="0"/>
        <w:spacing w:line="360" w:lineRule="auto"/>
        <w:textAlignment w:val="baseline"/>
        <w:rPr>
          <w:rFonts w:ascii="Arial" w:hAnsi="Arial" w:cs="Arial"/>
          <w:b w:val="0"/>
          <w:color w:val="000000" w:themeColor="text1"/>
          <w:sz w:val="20"/>
          <w:szCs w:val="20"/>
        </w:rPr>
      </w:pPr>
      <w:r w:rsidRPr="00CC51E2">
        <w:rPr>
          <w:rFonts w:ascii="Arial" w:hAnsi="Arial" w:cs="Arial"/>
          <w:color w:val="000000" w:themeColor="text1"/>
          <w:sz w:val="20"/>
          <w:szCs w:val="20"/>
        </w:rPr>
        <w:t>PROYECTOS DE INVERSIÓN EN EJECUCIÓN</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A continuación, se presenta el avance de los proyectos ejecutados por la Dirección a 31 de julio de 2017:</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1"/>
          <w:numId w:val="54"/>
        </w:numPr>
        <w:tabs>
          <w:tab w:val="left" w:pos="426"/>
        </w:tabs>
        <w:spacing w:after="0" w:line="312" w:lineRule="auto"/>
        <w:rPr>
          <w:rFonts w:ascii="Arial" w:hAnsi="Arial" w:cs="Arial"/>
          <w:b/>
          <w:sz w:val="20"/>
          <w:szCs w:val="20"/>
        </w:rPr>
      </w:pPr>
      <w:r w:rsidRPr="00CC51E2">
        <w:rPr>
          <w:rFonts w:ascii="Arial" w:hAnsi="Arial" w:cs="Arial"/>
          <w:b/>
          <w:sz w:val="20"/>
          <w:szCs w:val="20"/>
        </w:rPr>
        <w:t>PROYECTOS DE INVERSIÓN PLAN DE DESARROLLO “BOGOTÁ MEJOR PARA TODOS”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2"/>
          <w:numId w:val="54"/>
        </w:numPr>
        <w:spacing w:after="0" w:line="240" w:lineRule="auto"/>
        <w:jc w:val="both"/>
        <w:rPr>
          <w:rFonts w:ascii="Arial" w:hAnsi="Arial" w:cs="Arial"/>
          <w:b/>
          <w:sz w:val="20"/>
          <w:szCs w:val="20"/>
        </w:rPr>
      </w:pPr>
      <w:r w:rsidRPr="00CC51E2">
        <w:rPr>
          <w:rFonts w:ascii="Arial" w:hAnsi="Arial" w:cs="Arial"/>
          <w:b/>
          <w:sz w:val="20"/>
          <w:szCs w:val="20"/>
        </w:rPr>
        <w:t>PROYECTO 404 FORTALECIMIENTO INSTITUCIONAL PARA AUMENTAR LA EFICIENCIA EN LA GESTIÓN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bCs/>
          <w:sz w:val="20"/>
          <w:szCs w:val="20"/>
        </w:rPr>
        <w:t>Las actividades establecidas para la ejecución del proyecto se han cumplido en un 84% y los recursos asignados se han ejecutado en un 76%</w:t>
      </w:r>
      <w:r w:rsidRPr="00CC51E2">
        <w:rPr>
          <w:rStyle w:val="Refdenotaalpie"/>
          <w:rFonts w:ascii="Arial" w:hAnsi="Arial" w:cs="Arial"/>
          <w:bCs/>
          <w:sz w:val="20"/>
          <w:szCs w:val="20"/>
        </w:rPr>
        <w:footnoteReference w:id="5"/>
      </w:r>
      <w:r w:rsidRPr="00CC51E2">
        <w:rPr>
          <w:rFonts w:ascii="Arial" w:hAnsi="Arial" w:cs="Arial"/>
          <w:bCs/>
          <w:sz w:val="20"/>
          <w:szCs w:val="20"/>
        </w:rPr>
        <w:t xml:space="preserve">. </w:t>
      </w:r>
      <w:r w:rsidRPr="00CC51E2">
        <w:rPr>
          <w:rFonts w:ascii="Arial" w:hAnsi="Arial" w:cs="Arial"/>
          <w:color w:val="000000"/>
          <w:sz w:val="20"/>
          <w:szCs w:val="20"/>
        </w:rPr>
        <w:t>En coordinación con la Oficina Asesora de Planeación, la Subdirección Financiera y la Subdirección Administrativa, se llevaron a cabo las siguientes actividades relevantes:</w:t>
      </w: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En el marco de la implementación de las NICSP se ha venido realizando la convergencia de conformidad con la normativa establecida y adecuando los sistemas informativos de la entidad para el efecto, a la fecha el cronograma establecido presenta una ejecución del 80%.</w:t>
      </w:r>
    </w:p>
    <w:p w:rsidR="00B52A9F" w:rsidRPr="00CC51E2" w:rsidRDefault="00B52A9F" w:rsidP="00B52A9F">
      <w:pPr>
        <w:pStyle w:val="Prrafodelista"/>
        <w:spacing w:before="240" w:line="240" w:lineRule="auto"/>
        <w:jc w:val="both"/>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Respecto a la gestión de cartera, se mantiene actualizada la base de datos de cartera, identificándose un total de 1.233 deudores, se identificaron 441 partidas pendientes por depurar, 342 se pueden incluir en el archivo “RELACION DE CUENTAS DE ORDEN”, para los 99 restantes se determina si la depuración es ordinaria o extraordinaria.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Se realizaron las propuestas de actualización de TRD junto con la introducción y preparación de los soportes y se enviaron al Consejo Distrital de Archivos para su convalidación, fueron devueltas a la entidad para realizar algunos ajustes, los cuales se están realizando para ser presentada nuevamente la propuesta.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Se adelanta la organización de los archivos de las áreas administrativas de la entidad en el marco de la ejecución del contrato 613 de 2016, a la fecha se encuentra intervenida la vigencia 2013 y 2014, falta intervenir la vigencia 2015.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ajustó el documento definitivo del Sistema Integrado de Conservación y Preservación (SICYP).</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realizó el Saneamiento Ambiental en los archivos de gestión de la Dirección de Reasentamientos, en el Archivo de Gestión Centralizado, en el archivo de Contratos y la Dirección de Mejoramiento de Barrios.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realizaron capacitaciones en el Sistema Integrado de Gestión con los profesionales enlaces de cada proceso, se creó la política de administración del riesgo, se estructuro el mapa de riesgos, el plan anticorrupción y se revisó y consolido la herramienta de Servicio y/o producto No Conforme; se ha realizado el seguimiento periódico a las herramientas de gestión, para verificar el cumplimiento de los indicadores en cada uno de los procesos.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lastRenderedPageBreak/>
        <w:t xml:space="preserve">Con el ánimo de actualizar y mantener el cumplimiento de los requisitos de la NTCGP 1000 e ISO 9001 se llevaron a cabo las actividades para realizar la contratación de la empresa que realizara la Renovación de la Certificación en la Norma ISO 9001, se realizó el diagnóstico del Sistema de Gestión de Calidad y se realizó seguimiento con los procesos para verificar el estado de avance.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En el marco del Subsistema de Responsabilidad Social, se realizaron jornadas de sensibilización del subsistema de responsabilidad social en toda la entidad, y con el apoyo de la Unidad Administrativa de Servicios Públicos la UAESP se impartió una charla sobre comparendos ambientales y manejo de residuos de acuerdo al Nuevo Código de Policía.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0"/>
        </w:numPr>
        <w:spacing w:before="240" w:line="240" w:lineRule="auto"/>
        <w:jc w:val="both"/>
        <w:rPr>
          <w:rFonts w:ascii="Arial" w:hAnsi="Arial" w:cs="Arial"/>
          <w:sz w:val="20"/>
          <w:szCs w:val="20"/>
        </w:rPr>
      </w:pPr>
      <w:r w:rsidRPr="00CC51E2">
        <w:rPr>
          <w:rFonts w:ascii="Arial" w:hAnsi="Arial" w:cs="Arial"/>
          <w:sz w:val="20"/>
          <w:szCs w:val="20"/>
        </w:rPr>
        <w:t>En el marco del Subsistema de Gestión Ambiental, se generó el plan de acción referente a los requerimientos de la auditoria de la Secretaría Distrital de Ambiente, se realizó la compra de canecas nuevas, se adecuaron puntos ecológicos y carros de acopio de residuos, se remodeló el cuarto de acopio según normativa ambiental, se realizó un plan de sensibilización ambiental y jornadas de concientización en toda le Entidad.</w:t>
      </w:r>
    </w:p>
    <w:p w:rsidR="00B52A9F" w:rsidRPr="00CC51E2" w:rsidRDefault="00B52A9F" w:rsidP="00B52A9F">
      <w:pPr>
        <w:pStyle w:val="Prrafodelista"/>
        <w:spacing w:before="240" w:line="240" w:lineRule="auto"/>
        <w:jc w:val="both"/>
        <w:rPr>
          <w:rFonts w:ascii="Arial" w:hAnsi="Arial" w:cs="Arial"/>
          <w:sz w:val="20"/>
          <w:szCs w:val="20"/>
        </w:rPr>
      </w:pPr>
    </w:p>
    <w:p w:rsidR="00B52A9F" w:rsidRPr="00CC51E2" w:rsidRDefault="00B52A9F" w:rsidP="0057468E">
      <w:pPr>
        <w:pStyle w:val="Prrafodelista"/>
        <w:numPr>
          <w:ilvl w:val="0"/>
          <w:numId w:val="60"/>
        </w:numPr>
        <w:spacing w:before="240" w:line="240" w:lineRule="auto"/>
        <w:jc w:val="both"/>
        <w:rPr>
          <w:rFonts w:ascii="Arial" w:hAnsi="Arial" w:cs="Arial"/>
          <w:sz w:val="20"/>
          <w:szCs w:val="20"/>
        </w:rPr>
      </w:pPr>
      <w:r w:rsidRPr="00CC51E2">
        <w:rPr>
          <w:rFonts w:ascii="Arial" w:hAnsi="Arial" w:cs="Arial"/>
          <w:sz w:val="20"/>
          <w:szCs w:val="20"/>
        </w:rPr>
        <w:t xml:space="preserve">Con el fin de mantener la página web de la Entidad con información actualizada, se revisaron los Subsistemas del Sistema Integrado de Gestión y se validó la documentación de cada proceso y los contenidos que deben publicarse. De igual manera, se sensibilizó a las áreas en los lineamientos de Transparencia, de manera que se gestionarán correctamente las evidencias y soportes para la Auditoria al Índice de la Ley 1712 de 2014.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0"/>
        </w:numPr>
        <w:spacing w:before="240" w:after="0" w:line="240" w:lineRule="auto"/>
        <w:jc w:val="both"/>
        <w:rPr>
          <w:rFonts w:ascii="Arial" w:hAnsi="Arial" w:cs="Arial"/>
          <w:b/>
          <w:sz w:val="20"/>
          <w:szCs w:val="20"/>
        </w:rPr>
      </w:pPr>
      <w:r w:rsidRPr="00CC51E2">
        <w:rPr>
          <w:rFonts w:ascii="Arial" w:hAnsi="Arial" w:cs="Arial"/>
          <w:sz w:val="20"/>
          <w:szCs w:val="20"/>
          <w:lang w:val="es-ES"/>
        </w:rPr>
        <w:t xml:space="preserve">Se terminó la ejecución del contrato 611 de 2016, realizando de acuerdo con ello las reparaciones locativas contratadas, donde se destaca: La fachada del edificio de la entidad por la entrada principal, sala de lactancia, adecuación del auditorio, de la cafetería incluyendo sala para los hornos microondas, adecuación del cuarto de basuras y cambio de la recepción donde se tramita el ingreso a la entidad. </w:t>
      </w:r>
    </w:p>
    <w:p w:rsidR="00621073" w:rsidRPr="00CC51E2" w:rsidRDefault="00621073" w:rsidP="00B52A9F">
      <w:pPr>
        <w:jc w:val="center"/>
        <w:rPr>
          <w:rFonts w:ascii="Arial" w:hAnsi="Arial" w:cs="Arial"/>
          <w:b/>
          <w:sz w:val="20"/>
          <w:szCs w:val="20"/>
        </w:rPr>
      </w:pPr>
    </w:p>
    <w:p w:rsidR="00B52A9F" w:rsidRPr="00CC51E2" w:rsidRDefault="00B52A9F" w:rsidP="00B52A9F">
      <w:pPr>
        <w:jc w:val="center"/>
        <w:rPr>
          <w:rFonts w:ascii="Arial" w:hAnsi="Arial" w:cs="Arial"/>
          <w:noProof/>
          <w:color w:val="000000"/>
          <w:sz w:val="20"/>
          <w:szCs w:val="20"/>
          <w:lang w:val="es-ES" w:eastAsia="es-ES"/>
        </w:rPr>
      </w:pPr>
      <w:r w:rsidRPr="00CC51E2">
        <w:rPr>
          <w:rFonts w:ascii="Arial" w:hAnsi="Arial" w:cs="Arial"/>
          <w:b/>
          <w:sz w:val="20"/>
          <w:szCs w:val="20"/>
        </w:rPr>
        <w:t>PROYECTO 404 MEJORAS EN EL ARCHIVO DE GESTIÓN</w:t>
      </w:r>
      <w:r w:rsidRPr="00CC51E2">
        <w:rPr>
          <w:rFonts w:ascii="Arial" w:hAnsi="Arial" w:cs="Arial"/>
          <w:noProof/>
          <w:color w:val="000000"/>
          <w:sz w:val="20"/>
          <w:szCs w:val="20"/>
          <w:lang w:val="es-ES" w:eastAsia="es-ES"/>
        </w:rPr>
        <w:t xml:space="preserve"> </w:t>
      </w:r>
    </w:p>
    <w:p w:rsidR="00B52A9F" w:rsidRPr="00CC51E2" w:rsidRDefault="00B52A9F" w:rsidP="00B52A9F">
      <w:pPr>
        <w:jc w:val="center"/>
        <w:rPr>
          <w:rFonts w:ascii="Arial" w:hAnsi="Arial" w:cs="Arial"/>
          <w:noProof/>
          <w:color w:val="000000"/>
          <w:sz w:val="20"/>
          <w:szCs w:val="20"/>
          <w:lang w:val="es-ES" w:eastAsia="es-ES"/>
        </w:rPr>
      </w:pPr>
      <w:r w:rsidRPr="00CC51E2">
        <w:rPr>
          <w:rFonts w:ascii="Arial" w:hAnsi="Arial" w:cs="Arial"/>
          <w:noProof/>
          <w:color w:val="000000"/>
          <w:sz w:val="20"/>
          <w:szCs w:val="20"/>
          <w:lang w:val="es-ES" w:eastAsia="es-ES"/>
        </w:rPr>
        <w:t xml:space="preserve">   </w:t>
      </w:r>
    </w:p>
    <w:p w:rsidR="00B52A9F" w:rsidRPr="00CC51E2" w:rsidRDefault="00B52A9F" w:rsidP="00B52A9F">
      <w:pPr>
        <w:jc w:val="center"/>
        <w:rPr>
          <w:rFonts w:ascii="Arial" w:hAnsi="Arial" w:cs="Arial"/>
          <w:color w:val="000000"/>
          <w:sz w:val="20"/>
          <w:szCs w:val="20"/>
        </w:rPr>
      </w:pPr>
      <w:r w:rsidRPr="00CC51E2">
        <w:rPr>
          <w:rFonts w:ascii="Arial" w:hAnsi="Arial" w:cs="Arial"/>
          <w:noProof/>
          <w:color w:val="000000"/>
          <w:sz w:val="20"/>
          <w:szCs w:val="20"/>
          <w:lang w:val="es-ES" w:eastAsia="es-ES"/>
        </w:rPr>
        <w:drawing>
          <wp:inline distT="0" distB="0" distL="0" distR="0" wp14:anchorId="7354307C" wp14:editId="7FD4F583">
            <wp:extent cx="2305050" cy="14478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05050" cy="1447800"/>
                    </a:xfrm>
                    <a:prstGeom prst="rect">
                      <a:avLst/>
                    </a:prstGeom>
                    <a:noFill/>
                    <a:ln>
                      <a:noFill/>
                    </a:ln>
                  </pic:spPr>
                </pic:pic>
              </a:graphicData>
            </a:graphic>
          </wp:inline>
        </w:drawing>
      </w:r>
      <w:r w:rsidRPr="00CC51E2">
        <w:rPr>
          <w:rFonts w:ascii="Arial" w:hAnsi="Arial" w:cs="Arial"/>
          <w:color w:val="000000"/>
          <w:sz w:val="20"/>
          <w:szCs w:val="20"/>
          <w:lang w:val="es-ES"/>
        </w:rPr>
        <w:t xml:space="preserve">            </w:t>
      </w:r>
      <w:r w:rsidRPr="00CC51E2">
        <w:rPr>
          <w:rFonts w:ascii="Arial" w:hAnsi="Arial" w:cs="Arial"/>
          <w:noProof/>
          <w:color w:val="000000"/>
          <w:sz w:val="20"/>
          <w:szCs w:val="20"/>
          <w:lang w:val="es-ES" w:eastAsia="es-ES"/>
        </w:rPr>
        <w:t xml:space="preserve">               </w:t>
      </w:r>
      <w:r w:rsidRPr="00CC51E2">
        <w:rPr>
          <w:rFonts w:ascii="Arial" w:hAnsi="Arial" w:cs="Arial"/>
          <w:noProof/>
          <w:color w:val="000000"/>
          <w:sz w:val="20"/>
          <w:szCs w:val="20"/>
          <w:lang w:val="es-ES" w:eastAsia="es-ES"/>
        </w:rPr>
        <w:drawing>
          <wp:inline distT="0" distB="0" distL="0" distR="0" wp14:anchorId="27DB9528" wp14:editId="2DF5EF08">
            <wp:extent cx="2228850" cy="14382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28850" cy="1438275"/>
                    </a:xfrm>
                    <a:prstGeom prst="rect">
                      <a:avLst/>
                    </a:prstGeom>
                    <a:noFill/>
                    <a:ln>
                      <a:noFill/>
                    </a:ln>
                  </pic:spPr>
                </pic:pic>
              </a:graphicData>
            </a:graphic>
          </wp:inline>
        </w:drawing>
      </w:r>
      <w:r w:rsidRPr="00CC51E2">
        <w:rPr>
          <w:rFonts w:ascii="Arial" w:hAnsi="Arial" w:cs="Arial"/>
          <w:noProof/>
          <w:color w:val="000000"/>
          <w:sz w:val="20"/>
          <w:szCs w:val="20"/>
          <w:lang w:val="es-ES" w:eastAsia="es-ES"/>
        </w:rPr>
        <w:t xml:space="preserve">   </w:t>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noProof/>
          <w:sz w:val="20"/>
        </w:rPr>
        <w:lastRenderedPageBreak/>
        <w:t xml:space="preserve">        </w:t>
      </w:r>
      <w:r w:rsidRPr="00CC51E2">
        <w:rPr>
          <w:rFonts w:ascii="Arial" w:hAnsi="Arial" w:cs="Arial"/>
          <w:noProof/>
          <w:sz w:val="20"/>
        </w:rPr>
        <w:drawing>
          <wp:inline distT="0" distB="0" distL="0" distR="0" wp14:anchorId="4EDFD508" wp14:editId="7BFC668C">
            <wp:extent cx="2324100" cy="16764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sz w:val="20"/>
        </w:rPr>
        <w:drawing>
          <wp:inline distT="0" distB="0" distL="0" distR="0" wp14:anchorId="1CF7167A" wp14:editId="4E26057C">
            <wp:extent cx="2276475" cy="162877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76475" cy="1628775"/>
                    </a:xfrm>
                    <a:prstGeom prst="rect">
                      <a:avLst/>
                    </a:prstGeom>
                    <a:noFill/>
                    <a:ln>
                      <a:noFill/>
                    </a:ln>
                  </pic:spPr>
                </pic:pic>
              </a:graphicData>
            </a:graphic>
          </wp:inline>
        </w:drawing>
      </w:r>
      <w:r w:rsidRPr="00CC51E2">
        <w:rPr>
          <w:rFonts w:ascii="Arial" w:hAnsi="Arial" w:cs="Arial"/>
          <w:color w:val="000000"/>
          <w:sz w:val="20"/>
        </w:rPr>
        <w:t xml:space="preserve">                </w:t>
      </w:r>
    </w:p>
    <w:p w:rsidR="00B52A9F" w:rsidRPr="00CC51E2" w:rsidRDefault="00B52A9F" w:rsidP="00B52A9F">
      <w:pPr>
        <w:pStyle w:val="NormalWeb"/>
        <w:spacing w:before="240" w:after="240"/>
        <w:jc w:val="center"/>
        <w:rPr>
          <w:rFonts w:ascii="Arial" w:hAnsi="Arial" w:cs="Arial"/>
          <w:b/>
          <w:color w:val="000000"/>
          <w:sz w:val="20"/>
        </w:rPr>
      </w:pPr>
      <w:r w:rsidRPr="00CC51E2">
        <w:rPr>
          <w:rFonts w:ascii="Arial" w:hAnsi="Arial" w:cs="Arial"/>
          <w:b/>
          <w:color w:val="000000"/>
          <w:sz w:val="20"/>
        </w:rPr>
        <w:t>MEJORAS OBTENIDAS</w:t>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color w:val="000000"/>
          <w:sz w:val="20"/>
        </w:rPr>
        <w:t xml:space="preserve">          </w:t>
      </w:r>
      <w:r w:rsidRPr="00CC51E2">
        <w:rPr>
          <w:rFonts w:ascii="Arial" w:hAnsi="Arial" w:cs="Arial"/>
          <w:noProof/>
          <w:color w:val="000000"/>
          <w:sz w:val="20"/>
        </w:rPr>
        <w:drawing>
          <wp:inline distT="0" distB="0" distL="0" distR="0" wp14:anchorId="23AD449C" wp14:editId="492DD0FD">
            <wp:extent cx="1876785" cy="1695450"/>
            <wp:effectExtent l="0" t="0" r="9525"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79738" cy="1698117"/>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7DB75C36" wp14:editId="7E598FCE">
            <wp:extent cx="1851804" cy="1619250"/>
            <wp:effectExtent l="0" t="0" r="0" b="0"/>
            <wp:docPr id="82" name="Imagen 82" descr="C:\Users\Sneira\AppData\Local\Microsoft\Windows\INetCacheContent.Word\IMG_20170428_10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Sneira\AppData\Local\Microsoft\Windows\INetCacheContent.Word\IMG_20170428_10164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53609" cy="1620828"/>
                    </a:xfrm>
                    <a:prstGeom prst="rect">
                      <a:avLst/>
                    </a:prstGeom>
                    <a:noFill/>
                    <a:ln>
                      <a:noFill/>
                    </a:ln>
                  </pic:spPr>
                </pic:pic>
              </a:graphicData>
            </a:graphic>
          </wp:inline>
        </w:drawing>
      </w:r>
      <w:r w:rsidRPr="00CC51E2">
        <w:rPr>
          <w:rFonts w:ascii="Arial" w:hAnsi="Arial" w:cs="Arial"/>
          <w:noProof/>
          <w:color w:val="000000"/>
          <w:sz w:val="20"/>
        </w:rPr>
        <w:t xml:space="preserve">      </w:t>
      </w:r>
    </w:p>
    <w:p w:rsidR="00B52A9F" w:rsidRPr="00CC51E2" w:rsidRDefault="00B52A9F" w:rsidP="00B52A9F">
      <w:pPr>
        <w:shd w:val="clear" w:color="auto" w:fill="FFFFFF"/>
        <w:spacing w:after="0" w:line="240" w:lineRule="auto"/>
        <w:ind w:left="720"/>
        <w:jc w:val="both"/>
        <w:rPr>
          <w:rFonts w:ascii="Arial" w:eastAsia="Times New Roman" w:hAnsi="Arial" w:cs="Arial"/>
          <w:sz w:val="20"/>
          <w:szCs w:val="20"/>
          <w:lang w:eastAsia="es-CO"/>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eastAsia="Times New Roman" w:hAnsi="Arial" w:cs="Arial"/>
          <w:sz w:val="20"/>
          <w:szCs w:val="20"/>
          <w:lang w:val="es-ES" w:eastAsia="es-CO"/>
        </w:rPr>
        <w:t xml:space="preserve">                           </w:t>
      </w:r>
      <w:r w:rsidRPr="00CC51E2">
        <w:rPr>
          <w:rFonts w:ascii="Arial" w:eastAsia="Times New Roman" w:hAnsi="Arial" w:cs="Arial"/>
          <w:noProof/>
          <w:sz w:val="20"/>
          <w:szCs w:val="20"/>
          <w:lang w:val="es-ES" w:eastAsia="es-ES"/>
        </w:rPr>
        <w:t xml:space="preserve">     </w:t>
      </w:r>
      <w:r w:rsidRPr="00CC51E2">
        <w:rPr>
          <w:rFonts w:ascii="Arial" w:eastAsia="Times New Roman" w:hAnsi="Arial" w:cs="Arial"/>
          <w:noProof/>
          <w:sz w:val="20"/>
          <w:szCs w:val="20"/>
          <w:lang w:val="es-ES" w:eastAsia="es-ES"/>
        </w:rPr>
        <w:drawing>
          <wp:inline distT="0" distB="0" distL="0" distR="0" wp14:anchorId="4CEECC58" wp14:editId="00222536">
            <wp:extent cx="3057525" cy="1543050"/>
            <wp:effectExtent l="0" t="0" r="9525" b="0"/>
            <wp:docPr id="513" name="Imagen 513" descr="C:\Users\Sneira\AppData\Local\Microsoft\Windows\INetCacheContent.Word\IMG_20170428_1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Sneira\AppData\Local\Microsoft\Windows\INetCacheContent.Word\IMG_20170428_1016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57525" cy="1543050"/>
                    </a:xfrm>
                    <a:prstGeom prst="rect">
                      <a:avLst/>
                    </a:prstGeom>
                    <a:noFill/>
                    <a:ln>
                      <a:noFill/>
                    </a:ln>
                  </pic:spPr>
                </pic:pic>
              </a:graphicData>
            </a:graphic>
          </wp:inline>
        </w:drawing>
      </w:r>
    </w:p>
    <w:p w:rsidR="00B52A9F" w:rsidRPr="00CC51E2" w:rsidRDefault="00B52A9F" w:rsidP="00B52A9F">
      <w:pPr>
        <w:jc w:val="center"/>
        <w:rPr>
          <w:rFonts w:ascii="Arial" w:hAnsi="Arial" w:cs="Arial"/>
          <w:b/>
          <w:sz w:val="20"/>
          <w:szCs w:val="20"/>
        </w:rPr>
      </w:pPr>
    </w:p>
    <w:p w:rsidR="00B52A9F" w:rsidRPr="00CC51E2" w:rsidRDefault="00B52A9F" w:rsidP="00B52A9F">
      <w:pPr>
        <w:jc w:val="center"/>
        <w:rPr>
          <w:rFonts w:ascii="Arial" w:hAnsi="Arial" w:cs="Arial"/>
          <w:b/>
          <w:sz w:val="20"/>
          <w:szCs w:val="20"/>
        </w:rPr>
      </w:pPr>
    </w:p>
    <w:p w:rsidR="00B52A9F" w:rsidRPr="00CC51E2" w:rsidRDefault="00B52A9F" w:rsidP="00B52A9F">
      <w:pPr>
        <w:jc w:val="center"/>
        <w:rPr>
          <w:rFonts w:ascii="Arial" w:hAnsi="Arial" w:cs="Arial"/>
          <w:b/>
          <w:sz w:val="20"/>
          <w:szCs w:val="20"/>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jc w:val="center"/>
        <w:rPr>
          <w:rFonts w:ascii="Arial" w:hAnsi="Arial" w:cs="Arial"/>
          <w:b/>
          <w:sz w:val="20"/>
          <w:szCs w:val="20"/>
        </w:rPr>
      </w:pPr>
      <w:r w:rsidRPr="00CC51E2">
        <w:rPr>
          <w:rFonts w:ascii="Arial" w:hAnsi="Arial" w:cs="Arial"/>
          <w:b/>
          <w:sz w:val="20"/>
          <w:szCs w:val="20"/>
        </w:rPr>
        <w:lastRenderedPageBreak/>
        <w:t>PROYECTO 404 MEJORAS EN LAS INSTALACIONES DE PROPIEDAD DE LA ENTIDAD</w:t>
      </w:r>
    </w:p>
    <w:p w:rsidR="00B52A9F" w:rsidRPr="00CC51E2" w:rsidRDefault="00B52A9F" w:rsidP="00B52A9F">
      <w:pPr>
        <w:jc w:val="center"/>
        <w:rPr>
          <w:rFonts w:ascii="Arial" w:hAnsi="Arial" w:cs="Arial"/>
          <w:b/>
          <w:sz w:val="20"/>
          <w:szCs w:val="20"/>
        </w:rPr>
      </w:pP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noProof/>
          <w:color w:val="000000"/>
          <w:sz w:val="20"/>
        </w:rPr>
        <w:drawing>
          <wp:inline distT="0" distB="0" distL="0" distR="0" wp14:anchorId="38FA48E8" wp14:editId="74CBC046">
            <wp:extent cx="2428875" cy="2028825"/>
            <wp:effectExtent l="0" t="0" r="9525" b="9525"/>
            <wp:docPr id="514" name="Imagen 514" descr="C:\Users\Sneira\AppData\Local\Microsoft\Windows\INetCacheContent.Word\IMG-201705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Sneira\AppData\Local\Microsoft\Windows\INetCacheContent.Word\IMG-20170519-WA001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28875" cy="2028825"/>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479C3D68" wp14:editId="4FECA1E9">
            <wp:extent cx="2447925" cy="2038350"/>
            <wp:effectExtent l="0" t="0" r="9525" b="0"/>
            <wp:docPr id="515" name="Imagen 515" descr="C:\Users\Sneira\AppData\Local\Microsoft\Windows\INetCacheContent.Word\IMG-201705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Sneira\AppData\Local\Microsoft\Windows\INetCacheContent.Word\IMG-20170519-WA001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47925" cy="2038350"/>
                    </a:xfrm>
                    <a:prstGeom prst="rect">
                      <a:avLst/>
                    </a:prstGeom>
                    <a:noFill/>
                    <a:ln>
                      <a:noFill/>
                    </a:ln>
                  </pic:spPr>
                </pic:pic>
              </a:graphicData>
            </a:graphic>
          </wp:inline>
        </w:drawing>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color w:val="000000"/>
          <w:sz w:val="20"/>
        </w:rPr>
        <w:t xml:space="preserve">                               </w:t>
      </w:r>
      <w:r w:rsidRPr="00CC51E2">
        <w:rPr>
          <w:rFonts w:ascii="Arial" w:hAnsi="Arial" w:cs="Arial"/>
          <w:noProof/>
          <w:color w:val="000000"/>
          <w:sz w:val="20"/>
        </w:rPr>
        <w:drawing>
          <wp:inline distT="0" distB="0" distL="0" distR="0" wp14:anchorId="440C4D66" wp14:editId="27020F28">
            <wp:extent cx="2990850" cy="2124075"/>
            <wp:effectExtent l="0" t="0" r="0" b="9525"/>
            <wp:docPr id="516" name="Imagen 516" descr="C:\Users\Sneira\AppData\Local\Microsoft\Windows\INetCacheContent.Word\IMG-20170519-WA00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Sneira\AppData\Local\Microsoft\Windows\INetCacheContent.Word\IMG-20170519-WA0014 (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inline>
        </w:drawing>
      </w:r>
    </w:p>
    <w:p w:rsidR="00B52A9F" w:rsidRPr="00CC51E2" w:rsidRDefault="00B52A9F" w:rsidP="00B52A9F">
      <w:pPr>
        <w:pStyle w:val="NormalWeb"/>
        <w:spacing w:before="240"/>
        <w:jc w:val="center"/>
        <w:rPr>
          <w:rFonts w:ascii="Arial" w:hAnsi="Arial" w:cs="Arial"/>
          <w:b/>
          <w:color w:val="000000"/>
          <w:sz w:val="20"/>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pStyle w:val="NormalWeb"/>
        <w:spacing w:before="240"/>
        <w:jc w:val="center"/>
        <w:rPr>
          <w:rFonts w:ascii="Arial" w:hAnsi="Arial" w:cs="Arial"/>
          <w:b/>
          <w:color w:val="000000"/>
          <w:sz w:val="20"/>
        </w:rPr>
      </w:pPr>
      <w:r w:rsidRPr="00CC51E2">
        <w:rPr>
          <w:rFonts w:ascii="Arial" w:hAnsi="Arial" w:cs="Arial"/>
          <w:b/>
          <w:color w:val="000000"/>
          <w:sz w:val="20"/>
        </w:rPr>
        <w:lastRenderedPageBreak/>
        <w:t>MEJORAS OBTENIDAS</w:t>
      </w:r>
    </w:p>
    <w:p w:rsidR="00B52A9F" w:rsidRPr="00CC51E2" w:rsidRDefault="00B52A9F" w:rsidP="00B52A9F">
      <w:pPr>
        <w:pStyle w:val="NormalWeb"/>
        <w:spacing w:before="240"/>
        <w:jc w:val="center"/>
        <w:rPr>
          <w:rFonts w:ascii="Arial" w:hAnsi="Arial" w:cs="Arial"/>
          <w:b/>
          <w:color w:val="000000"/>
          <w:sz w:val="20"/>
        </w:rPr>
      </w:pPr>
      <w:r w:rsidRPr="00CC51E2">
        <w:rPr>
          <w:rFonts w:ascii="Arial" w:hAnsi="Arial" w:cs="Arial"/>
          <w:b/>
          <w:color w:val="000000"/>
          <w:sz w:val="20"/>
        </w:rPr>
        <w:t>FACHADA INGRESO PRINCIPAL A LA CVP</w:t>
      </w:r>
    </w:p>
    <w:p w:rsidR="00B52A9F" w:rsidRPr="00CC51E2" w:rsidRDefault="00B52A9F" w:rsidP="00B52A9F">
      <w:pPr>
        <w:pStyle w:val="NormalWeb"/>
        <w:spacing w:before="240" w:after="240"/>
        <w:jc w:val="center"/>
        <w:rPr>
          <w:rFonts w:ascii="Arial" w:hAnsi="Arial" w:cs="Arial"/>
          <w:b/>
          <w:color w:val="000000"/>
          <w:sz w:val="20"/>
        </w:rPr>
      </w:pPr>
    </w:p>
    <w:p w:rsidR="00B52A9F" w:rsidRPr="00CC51E2" w:rsidRDefault="00B52A9F" w:rsidP="00B52A9F">
      <w:pPr>
        <w:pStyle w:val="NormalWeb"/>
        <w:spacing w:before="240" w:after="240"/>
        <w:jc w:val="both"/>
        <w:rPr>
          <w:rFonts w:ascii="Arial" w:hAnsi="Arial" w:cs="Arial"/>
          <w:sz w:val="20"/>
        </w:rPr>
      </w:pPr>
      <w:r w:rsidRPr="00CC51E2">
        <w:rPr>
          <w:rFonts w:ascii="Arial" w:hAnsi="Arial" w:cs="Arial"/>
          <w:color w:val="000000"/>
          <w:sz w:val="20"/>
        </w:rPr>
        <w:t xml:space="preserve">                          </w:t>
      </w:r>
      <w:r w:rsidRPr="00CC51E2">
        <w:rPr>
          <w:rFonts w:ascii="Arial" w:hAnsi="Arial" w:cs="Arial"/>
          <w:noProof/>
          <w:sz w:val="20"/>
        </w:rPr>
        <w:drawing>
          <wp:inline distT="0" distB="0" distL="0" distR="0" wp14:anchorId="150C47DA" wp14:editId="132D3344">
            <wp:extent cx="4095750" cy="2857500"/>
            <wp:effectExtent l="0" t="0" r="0" b="0"/>
            <wp:docPr id="517" name="Imagen 517" descr="C:\Users\Sneira\AppData\Local\Microsoft\Windows\INetCacheContent.Word\IMG_20170705_1439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Sneira\AppData\Local\Microsoft\Windows\INetCacheContent.Word\IMG_20170705_143910 (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95750" cy="2857500"/>
                    </a:xfrm>
                    <a:prstGeom prst="rect">
                      <a:avLst/>
                    </a:prstGeom>
                    <a:noFill/>
                    <a:ln>
                      <a:noFill/>
                    </a:ln>
                  </pic:spPr>
                </pic:pic>
              </a:graphicData>
            </a:graphic>
          </wp:inline>
        </w:drawing>
      </w:r>
      <w:r w:rsidRPr="00CC51E2">
        <w:rPr>
          <w:rFonts w:ascii="Arial" w:hAnsi="Arial" w:cs="Arial"/>
          <w:color w:val="000000"/>
          <w:sz w:val="20"/>
        </w:rPr>
        <w:t xml:space="preserve">  </w:t>
      </w:r>
    </w:p>
    <w:p w:rsidR="00B52A9F" w:rsidRPr="00CC51E2" w:rsidRDefault="00B52A9F" w:rsidP="00B52A9F">
      <w:pPr>
        <w:pStyle w:val="NormalWeb"/>
        <w:spacing w:before="240" w:after="240"/>
        <w:jc w:val="center"/>
        <w:rPr>
          <w:rFonts w:ascii="Arial" w:hAnsi="Arial" w:cs="Arial"/>
          <w:b/>
          <w:noProof/>
          <w:sz w:val="20"/>
        </w:rPr>
      </w:pPr>
      <w:r w:rsidRPr="00CC51E2">
        <w:rPr>
          <w:rFonts w:ascii="Arial" w:hAnsi="Arial" w:cs="Arial"/>
          <w:b/>
          <w:noProof/>
          <w:sz w:val="20"/>
        </w:rPr>
        <w:t>ADECUACIONES PRIMER PISO</w:t>
      </w: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drawing>
          <wp:inline distT="0" distB="0" distL="0" distR="0" wp14:anchorId="48146C9A" wp14:editId="529732ED">
            <wp:extent cx="2619375" cy="2419350"/>
            <wp:effectExtent l="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19375" cy="2419350"/>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0D8985EB" wp14:editId="6FE33759">
            <wp:extent cx="2495550" cy="2419350"/>
            <wp:effectExtent l="0" t="0" r="0"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95550" cy="241935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B52A9F" w:rsidRPr="00CC51E2" w:rsidRDefault="00B52A9F" w:rsidP="00B52A9F">
      <w:pPr>
        <w:pStyle w:val="NormalWeb"/>
        <w:spacing w:before="0" w:after="0" w:line="276" w:lineRule="auto"/>
        <w:rPr>
          <w:rFonts w:ascii="Arial" w:hAnsi="Arial" w:cs="Arial"/>
          <w:color w:val="000000"/>
          <w:sz w:val="20"/>
        </w:rPr>
      </w:pPr>
      <w:r w:rsidRPr="00CC51E2">
        <w:rPr>
          <w:rFonts w:ascii="Arial" w:hAnsi="Arial" w:cs="Arial"/>
          <w:noProof/>
          <w:color w:val="000000"/>
          <w:sz w:val="20"/>
        </w:rPr>
        <w:lastRenderedPageBreak/>
        <w:drawing>
          <wp:inline distT="0" distB="0" distL="0" distR="0" wp14:anchorId="7ACF4D43" wp14:editId="7DD3EDF6">
            <wp:extent cx="2352675" cy="1819275"/>
            <wp:effectExtent l="0" t="0" r="9525" b="9525"/>
            <wp:docPr id="519" name="Imagen 519" descr="C:\Users\Sneira\AppData\Local\Microsoft\Windows\INetCacheContent.Word\IMG_20170428_093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Sneira\AppData\Local\Microsoft\Windows\INetCacheContent.Word\IMG_20170428_093022 (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52675" cy="1819275"/>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465CE27D" wp14:editId="7469B371">
            <wp:extent cx="2838091" cy="1876425"/>
            <wp:effectExtent l="0" t="0" r="635" b="0"/>
            <wp:docPr id="520" name="Imagen 520" descr="C:\Users\Sneira\AppData\Local\Microsoft\Windows\INetCacheContent.Word\IMG_20170428_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C:\Users\Sneira\AppData\Local\Microsoft\Windows\INetCacheContent.Word\IMG_20170428_092940.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0671" cy="1878131"/>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color w:val="000000"/>
          <w:sz w:val="20"/>
        </w:rPr>
      </w:pPr>
    </w:p>
    <w:p w:rsidR="00B52A9F" w:rsidRPr="00CC51E2" w:rsidRDefault="00B52A9F" w:rsidP="00B52A9F">
      <w:pPr>
        <w:pStyle w:val="NormalWeb"/>
        <w:spacing w:before="0" w:after="0" w:line="276" w:lineRule="auto"/>
        <w:jc w:val="center"/>
        <w:rPr>
          <w:rFonts w:ascii="Arial" w:hAnsi="Arial" w:cs="Arial"/>
          <w:sz w:val="20"/>
        </w:rPr>
      </w:pPr>
      <w:r w:rsidRPr="00CC51E2">
        <w:rPr>
          <w:rFonts w:ascii="Arial" w:hAnsi="Arial" w:cs="Arial"/>
          <w:noProof/>
          <w:color w:val="000000"/>
          <w:sz w:val="20"/>
        </w:rPr>
        <w:drawing>
          <wp:inline distT="0" distB="0" distL="0" distR="0" wp14:anchorId="1615F4AF" wp14:editId="63589026">
            <wp:extent cx="2905125" cy="2266950"/>
            <wp:effectExtent l="0" t="0" r="9525" b="0"/>
            <wp:docPr id="521" name="Imagen 521" descr="C:\Users\Sneira\AppData\Local\Microsoft\Windows\INetCacheContent.Word\IMG_20170428_09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Sneira\AppData\Local\Microsoft\Windows\INetCacheContent.Word\IMG_20170428_09311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5125" cy="2266950"/>
                    </a:xfrm>
                    <a:prstGeom prst="rect">
                      <a:avLst/>
                    </a:prstGeom>
                    <a:noFill/>
                    <a:ln>
                      <a:noFill/>
                    </a:ln>
                  </pic:spPr>
                </pic:pic>
              </a:graphicData>
            </a:graphic>
          </wp:inline>
        </w:drawing>
      </w: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B52A9F" w:rsidRPr="00CC51E2" w:rsidRDefault="00B52A9F" w:rsidP="00B52A9F">
      <w:pPr>
        <w:pStyle w:val="NormalWeb"/>
        <w:tabs>
          <w:tab w:val="left" w:pos="2977"/>
        </w:tabs>
        <w:spacing w:before="240" w:after="240"/>
        <w:jc w:val="center"/>
        <w:rPr>
          <w:rFonts w:ascii="Arial" w:hAnsi="Arial" w:cs="Arial"/>
          <w:b/>
          <w:color w:val="000000"/>
          <w:sz w:val="20"/>
        </w:rPr>
      </w:pPr>
      <w:r w:rsidRPr="00CC51E2">
        <w:rPr>
          <w:rFonts w:ascii="Arial" w:hAnsi="Arial" w:cs="Arial"/>
          <w:b/>
          <w:color w:val="000000"/>
          <w:sz w:val="20"/>
        </w:rPr>
        <w:lastRenderedPageBreak/>
        <w:t>AUDITORIO</w:t>
      </w:r>
    </w:p>
    <w:p w:rsidR="00B52A9F" w:rsidRPr="00CC51E2" w:rsidRDefault="00B52A9F" w:rsidP="00B52A9F">
      <w:pPr>
        <w:pStyle w:val="NormalWeb"/>
        <w:spacing w:before="240" w:after="240"/>
        <w:jc w:val="both"/>
        <w:rPr>
          <w:rFonts w:ascii="Arial" w:hAnsi="Arial" w:cs="Arial"/>
          <w:noProof/>
          <w:sz w:val="20"/>
        </w:rPr>
      </w:pPr>
      <w:r w:rsidRPr="00CC51E2">
        <w:rPr>
          <w:rFonts w:ascii="Arial" w:hAnsi="Arial" w:cs="Arial"/>
          <w:color w:val="000000"/>
          <w:sz w:val="20"/>
        </w:rPr>
        <w:t xml:space="preserve"> </w:t>
      </w:r>
      <w:r w:rsidRPr="00CC51E2">
        <w:rPr>
          <w:rFonts w:ascii="Arial" w:hAnsi="Arial" w:cs="Arial"/>
          <w:noProof/>
          <w:sz w:val="20"/>
        </w:rPr>
        <w:drawing>
          <wp:inline distT="0" distB="0" distL="0" distR="0" wp14:anchorId="579EF2F2" wp14:editId="07DB1266">
            <wp:extent cx="2524125" cy="27146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24125" cy="2714625"/>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7A5D766B" wp14:editId="6E94DCE1">
            <wp:extent cx="2828925" cy="26860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28925" cy="268605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t xml:space="preserve">                     </w:t>
      </w:r>
      <w:r w:rsidRPr="00CC51E2">
        <w:rPr>
          <w:rFonts w:ascii="Arial" w:hAnsi="Arial" w:cs="Arial"/>
          <w:noProof/>
          <w:sz w:val="20"/>
        </w:rPr>
        <w:drawing>
          <wp:inline distT="0" distB="0" distL="0" distR="0" wp14:anchorId="5FEAA73C" wp14:editId="481EA09B">
            <wp:extent cx="3771900" cy="2171700"/>
            <wp:effectExtent l="0" t="0" r="0" b="0"/>
            <wp:docPr id="67" name="Imagen 67" descr="C:\Users\Sneira\AppData\Local\Microsoft\Windows\INetCacheContent.Word\IMG_20170705_1436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Sneira\AppData\Local\Microsoft\Windows\INetCacheContent.Word\IMG_20170705_143611 (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771900" cy="217170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Default="00621073" w:rsidP="00B52A9F">
      <w:pPr>
        <w:pStyle w:val="NormalWeb"/>
        <w:spacing w:before="0" w:after="0" w:line="276" w:lineRule="auto"/>
        <w:jc w:val="center"/>
        <w:rPr>
          <w:rFonts w:ascii="Arial" w:hAnsi="Arial" w:cs="Arial"/>
          <w:b/>
          <w:noProof/>
          <w:sz w:val="20"/>
        </w:rPr>
      </w:pPr>
    </w:p>
    <w:p w:rsidR="00CC51E2" w:rsidRDefault="00CC51E2" w:rsidP="00B52A9F">
      <w:pPr>
        <w:pStyle w:val="NormalWeb"/>
        <w:spacing w:before="0" w:after="0" w:line="276" w:lineRule="auto"/>
        <w:jc w:val="center"/>
        <w:rPr>
          <w:rFonts w:ascii="Arial" w:hAnsi="Arial" w:cs="Arial"/>
          <w:b/>
          <w:noProof/>
          <w:sz w:val="20"/>
        </w:rPr>
      </w:pPr>
    </w:p>
    <w:p w:rsidR="00CC51E2" w:rsidRDefault="00CC51E2" w:rsidP="00B52A9F">
      <w:pPr>
        <w:pStyle w:val="NormalWeb"/>
        <w:spacing w:before="0" w:after="0" w:line="276" w:lineRule="auto"/>
        <w:jc w:val="center"/>
        <w:rPr>
          <w:rFonts w:ascii="Arial" w:hAnsi="Arial" w:cs="Arial"/>
          <w:b/>
          <w:noProof/>
          <w:sz w:val="20"/>
        </w:rPr>
      </w:pPr>
    </w:p>
    <w:p w:rsidR="00CC51E2" w:rsidRPr="00CC51E2" w:rsidRDefault="00CC51E2" w:rsidP="00B52A9F">
      <w:pPr>
        <w:pStyle w:val="NormalWeb"/>
        <w:spacing w:before="0" w:after="0" w:line="276" w:lineRule="auto"/>
        <w:jc w:val="center"/>
        <w:rPr>
          <w:rFonts w:ascii="Arial" w:hAnsi="Arial" w:cs="Arial"/>
          <w:b/>
          <w:noProof/>
          <w:sz w:val="20"/>
        </w:rPr>
      </w:pPr>
    </w:p>
    <w:p w:rsidR="00B52A9F" w:rsidRPr="00CC51E2" w:rsidRDefault="00B52A9F" w:rsidP="00B52A9F">
      <w:pPr>
        <w:pStyle w:val="NormalWeb"/>
        <w:spacing w:before="0" w:after="0" w:line="276" w:lineRule="auto"/>
        <w:jc w:val="center"/>
        <w:rPr>
          <w:rFonts w:ascii="Arial" w:hAnsi="Arial" w:cs="Arial"/>
          <w:b/>
          <w:noProof/>
          <w:sz w:val="20"/>
        </w:rPr>
      </w:pPr>
      <w:r w:rsidRPr="00CC51E2">
        <w:rPr>
          <w:rFonts w:ascii="Arial" w:hAnsi="Arial" w:cs="Arial"/>
          <w:b/>
          <w:noProof/>
          <w:sz w:val="20"/>
        </w:rPr>
        <w:lastRenderedPageBreak/>
        <w:t>SALA PARA LACTANCIA</w:t>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both"/>
        <w:rPr>
          <w:rFonts w:ascii="Arial" w:hAnsi="Arial" w:cs="Arial"/>
          <w:sz w:val="20"/>
        </w:rPr>
      </w:pPr>
      <w:r w:rsidRPr="00CC51E2">
        <w:rPr>
          <w:rFonts w:ascii="Arial" w:hAnsi="Arial" w:cs="Arial"/>
          <w:noProof/>
          <w:sz w:val="20"/>
        </w:rPr>
        <w:drawing>
          <wp:inline distT="0" distB="0" distL="0" distR="0" wp14:anchorId="5A044528" wp14:editId="70DDEA1E">
            <wp:extent cx="2590800" cy="21526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90800" cy="2152650"/>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0C6B71E5" wp14:editId="10FD0E60">
            <wp:extent cx="2352675" cy="22574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52675" cy="2257425"/>
                    </a:xfrm>
                    <a:prstGeom prst="rect">
                      <a:avLst/>
                    </a:prstGeom>
                    <a:noFill/>
                    <a:ln>
                      <a:noFill/>
                    </a:ln>
                  </pic:spPr>
                </pic:pic>
              </a:graphicData>
            </a:graphic>
          </wp:inline>
        </w:drawing>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pStyle w:val="NormalWeb"/>
        <w:spacing w:before="240" w:after="240"/>
        <w:jc w:val="center"/>
        <w:rPr>
          <w:rFonts w:ascii="Arial" w:hAnsi="Arial" w:cs="Arial"/>
          <w:b/>
          <w:color w:val="000000"/>
          <w:sz w:val="20"/>
        </w:rPr>
      </w:pPr>
      <w:r w:rsidRPr="00CC51E2">
        <w:rPr>
          <w:rFonts w:ascii="Arial" w:hAnsi="Arial" w:cs="Arial"/>
          <w:b/>
          <w:color w:val="000000"/>
          <w:sz w:val="20"/>
        </w:rPr>
        <w:t>OTRAS ADECUACIONES IMPORTANTES</w:t>
      </w:r>
    </w:p>
    <w:p w:rsidR="00B52A9F" w:rsidRPr="00CC51E2" w:rsidRDefault="00B52A9F" w:rsidP="00B52A9F">
      <w:pPr>
        <w:pStyle w:val="NormalWeb"/>
        <w:spacing w:before="240" w:after="240"/>
        <w:jc w:val="center"/>
        <w:rPr>
          <w:rFonts w:ascii="Arial" w:hAnsi="Arial" w:cs="Arial"/>
          <w:b/>
          <w:color w:val="000000"/>
          <w:sz w:val="20"/>
        </w:rPr>
      </w:pPr>
    </w:p>
    <w:p w:rsidR="00B52A9F" w:rsidRPr="00CC51E2" w:rsidRDefault="00B52A9F" w:rsidP="00B52A9F">
      <w:pPr>
        <w:pStyle w:val="NormalWeb"/>
        <w:spacing w:before="240" w:after="240"/>
        <w:jc w:val="both"/>
        <w:rPr>
          <w:rFonts w:ascii="Arial" w:hAnsi="Arial" w:cs="Arial"/>
          <w:noProof/>
          <w:sz w:val="20"/>
        </w:rPr>
      </w:pPr>
      <w:r w:rsidRPr="00CC51E2">
        <w:rPr>
          <w:rFonts w:ascii="Arial" w:hAnsi="Arial" w:cs="Arial"/>
          <w:color w:val="000000"/>
          <w:sz w:val="20"/>
        </w:rPr>
        <w:t xml:space="preserve"> </w:t>
      </w:r>
      <w:r w:rsidRPr="00CC51E2">
        <w:rPr>
          <w:rFonts w:ascii="Arial" w:hAnsi="Arial" w:cs="Arial"/>
          <w:noProof/>
          <w:sz w:val="20"/>
        </w:rPr>
        <w:t xml:space="preserve">    </w:t>
      </w:r>
      <w:r w:rsidRPr="00CC51E2">
        <w:rPr>
          <w:rFonts w:ascii="Arial" w:hAnsi="Arial" w:cs="Arial"/>
          <w:noProof/>
          <w:sz w:val="20"/>
        </w:rPr>
        <w:drawing>
          <wp:inline distT="0" distB="0" distL="0" distR="0" wp14:anchorId="571D247B" wp14:editId="140D77F3">
            <wp:extent cx="2628900" cy="2391508"/>
            <wp:effectExtent l="0" t="0" r="0" b="8890"/>
            <wp:docPr id="74" name="Imagen 74" descr="C:\Users\Sneira\AppData\Local\Microsoft\Windows\INetCacheContent.Word\IMG_20170705_14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Sneira\AppData\Local\Microsoft\Windows\INetCacheContent.Word\IMG_20170705_14300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29640" cy="2392181"/>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63BF6304" wp14:editId="40468411">
            <wp:extent cx="2562225" cy="2341266"/>
            <wp:effectExtent l="0" t="0" r="0" b="1905"/>
            <wp:docPr id="73" name="Imagen 73" descr="C:\Users\Sneira\AppData\Local\Microsoft\Windows\INetCacheContent.Word\IMG_20170705_14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Sneira\AppData\Local\Microsoft\Windows\INetCacheContent.Word\IMG_20170705_143007.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62387" cy="2341414"/>
                    </a:xfrm>
                    <a:prstGeom prst="rect">
                      <a:avLst/>
                    </a:prstGeom>
                    <a:noFill/>
                    <a:ln>
                      <a:noFill/>
                    </a:ln>
                  </pic:spPr>
                </pic:pic>
              </a:graphicData>
            </a:graphic>
          </wp:inline>
        </w:drawing>
      </w:r>
      <w:r w:rsidRPr="00CC51E2">
        <w:rPr>
          <w:rFonts w:ascii="Arial" w:hAnsi="Arial" w:cs="Arial"/>
          <w:noProof/>
          <w:sz w:val="20"/>
        </w:rPr>
        <w:t xml:space="preserve">  </w:t>
      </w: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lastRenderedPageBreak/>
        <w:t xml:space="preserve">    </w:t>
      </w:r>
      <w:r w:rsidRPr="00CC51E2">
        <w:rPr>
          <w:rFonts w:ascii="Arial" w:hAnsi="Arial" w:cs="Arial"/>
          <w:noProof/>
          <w:sz w:val="20"/>
        </w:rPr>
        <w:drawing>
          <wp:inline distT="0" distB="0" distL="0" distR="0" wp14:anchorId="6C45646D" wp14:editId="3D2AAB26">
            <wp:extent cx="2362200" cy="2276475"/>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62200" cy="2276475"/>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28F4ACE5" wp14:editId="4D9989BC">
            <wp:extent cx="2809875" cy="2257425"/>
            <wp:effectExtent l="0" t="0" r="9525" b="9525"/>
            <wp:docPr id="71" name="Imagen 71" descr="C:\Users\Sneira\AppData\Local\Microsoft\Windows\INetCacheContent.Word\IMG_20170705_143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C:\Users\Sneira\AppData\Local\Microsoft\Windows\INetCacheContent.Word\IMG_20170705_143352 (1).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09875" cy="2257425"/>
                    </a:xfrm>
                    <a:prstGeom prst="rect">
                      <a:avLst/>
                    </a:prstGeom>
                    <a:noFill/>
                    <a:ln>
                      <a:noFill/>
                    </a:ln>
                  </pic:spPr>
                </pic:pic>
              </a:graphicData>
            </a:graphic>
          </wp:inline>
        </w:drawing>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center"/>
        <w:rPr>
          <w:rFonts w:ascii="Arial" w:hAnsi="Arial" w:cs="Arial"/>
          <w:noProof/>
          <w:sz w:val="20"/>
        </w:rPr>
      </w:pPr>
      <w:r w:rsidRPr="00CC51E2">
        <w:rPr>
          <w:rFonts w:ascii="Arial" w:hAnsi="Arial" w:cs="Arial"/>
          <w:noProof/>
          <w:sz w:val="20"/>
        </w:rPr>
        <w:drawing>
          <wp:inline distT="0" distB="0" distL="0" distR="0" wp14:anchorId="1645C226" wp14:editId="0D35DEE9">
            <wp:extent cx="2800350" cy="2314575"/>
            <wp:effectExtent l="0" t="0" r="0" b="9525"/>
            <wp:docPr id="70" name="Imagen 70" descr="C:\Users\Sneira\AppData\Local\Microsoft\Windows\INetCacheContent.Word\IMG_20170705_143427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Sneira\AppData\Local\Microsoft\Windows\INetCacheContent.Word\IMG_20170705_143427_BURST001_COVER.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00350" cy="2314575"/>
                    </a:xfrm>
                    <a:prstGeom prst="rect">
                      <a:avLst/>
                    </a:prstGeom>
                    <a:noFill/>
                    <a:ln>
                      <a:noFill/>
                    </a:ln>
                  </pic:spPr>
                </pic:pic>
              </a:graphicData>
            </a:graphic>
          </wp:inline>
        </w:drawing>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57468E">
      <w:pPr>
        <w:pStyle w:val="Prrafodelista"/>
        <w:numPr>
          <w:ilvl w:val="2"/>
          <w:numId w:val="54"/>
        </w:numPr>
        <w:spacing w:after="0" w:line="240" w:lineRule="auto"/>
        <w:jc w:val="both"/>
        <w:rPr>
          <w:rFonts w:ascii="Arial" w:hAnsi="Arial" w:cs="Arial"/>
          <w:sz w:val="20"/>
          <w:szCs w:val="20"/>
          <w:lang w:val="es-ES"/>
        </w:rPr>
      </w:pPr>
      <w:r w:rsidRPr="00CC51E2">
        <w:rPr>
          <w:rFonts w:ascii="Arial" w:hAnsi="Arial" w:cs="Arial"/>
          <w:b/>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bCs/>
          <w:sz w:val="20"/>
          <w:szCs w:val="20"/>
        </w:rPr>
        <w:t>Las actividades establecidas para la ejecución del proyecto se han cumplido en un 81,52% y los recursos asignados se han ejecutado en un 95%</w:t>
      </w:r>
      <w:r w:rsidRPr="00CC51E2">
        <w:rPr>
          <w:rStyle w:val="Refdenotaalpie"/>
          <w:rFonts w:ascii="Arial" w:hAnsi="Arial" w:cs="Arial"/>
          <w:bCs/>
          <w:sz w:val="20"/>
          <w:szCs w:val="20"/>
        </w:rPr>
        <w:footnoteReference w:id="6"/>
      </w:r>
      <w:r w:rsidRPr="00CC51E2">
        <w:rPr>
          <w:rFonts w:ascii="Arial" w:hAnsi="Arial" w:cs="Arial"/>
          <w:bCs/>
          <w:sz w:val="20"/>
          <w:szCs w:val="20"/>
        </w:rPr>
        <w:t xml:space="preserve">. </w:t>
      </w:r>
      <w:r w:rsidRPr="00CC51E2">
        <w:rPr>
          <w:rFonts w:ascii="Arial" w:hAnsi="Arial" w:cs="Arial"/>
          <w:color w:val="000000"/>
          <w:sz w:val="20"/>
          <w:szCs w:val="20"/>
        </w:rPr>
        <w:t>En coordinación con la Oficina Asesora de Comunicaciones y el Proceso de Serse llevaron a cabo las siguientes actividades relevantes:</w:t>
      </w: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realizaron campañas mensuales de sensibilización institucional sobre el cumplimiento de la Ley de transparencia. Se inició la planeación de la auditoria del índice de transparencia con la etapa de alistamiento de evidencias de cumplimiento. Se socializó la presentación sobre la Evaluación del Índice de Transparencia en la toda la entidad. Se realizó un video pedagógico para promover en redes sociales, se elaboraron y divulgaron piezas sobre el enlace PQRS. Lo anterior para promover la visibilidad del botón de Transparencia a través de canales internos y redes sociales. </w:t>
      </w:r>
      <w:r w:rsidRPr="00CC51E2">
        <w:rPr>
          <w:rFonts w:ascii="Arial" w:hAnsi="Arial" w:cs="Arial"/>
          <w:sz w:val="20"/>
          <w:szCs w:val="20"/>
          <w:lang w:val="es-ES"/>
        </w:rPr>
        <w:lastRenderedPageBreak/>
        <w:t>Se definió Ruta para el cumplimiento de la Ley 1712 de 2014 a fin de asegurar la consecución de la información por parte de todas las Direcciones y Subdirecciones, verificando la información y la publicación en los tiempos definidos.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inició la planeación para el desarrollo de estrategias de divulgación proactiva a partir de </w:t>
      </w:r>
      <w:r w:rsidRPr="00CC51E2">
        <w:rPr>
          <w:rFonts w:ascii="Arial" w:hAnsi="Arial" w:cs="Arial"/>
          <w:i/>
          <w:sz w:val="20"/>
          <w:szCs w:val="20"/>
          <w:lang w:val="es-ES"/>
        </w:rPr>
        <w:t>Free Press</w:t>
      </w:r>
      <w:r w:rsidRPr="00CC51E2">
        <w:rPr>
          <w:rFonts w:ascii="Arial" w:hAnsi="Arial" w:cs="Arial"/>
          <w:sz w:val="20"/>
          <w:szCs w:val="20"/>
          <w:lang w:val="es-ES"/>
        </w:rPr>
        <w:t xml:space="preserve"> y posicionamiento que genere impactos positivos en los medios de comunicación, realizando el cubrimiento en los medios de comunicación de mayor importancia, entre estos Caracol Radio, ADN, City TV y canal Caracol. A través de la herramienta </w:t>
      </w:r>
      <w:r w:rsidRPr="00CC51E2">
        <w:rPr>
          <w:rFonts w:ascii="Arial" w:hAnsi="Arial" w:cs="Arial"/>
          <w:i/>
          <w:sz w:val="20"/>
          <w:szCs w:val="20"/>
          <w:lang w:val="es-ES"/>
        </w:rPr>
        <w:t>Free Press</w:t>
      </w:r>
      <w:r w:rsidRPr="00CC51E2">
        <w:rPr>
          <w:rFonts w:ascii="Arial" w:hAnsi="Arial" w:cs="Arial"/>
          <w:sz w:val="20"/>
          <w:szCs w:val="20"/>
          <w:lang w:val="es-ES"/>
        </w:rPr>
        <w:t xml:space="preserve"> se dio a conocer la gestión de la Dirección de Mejoramiento de Barrios en Ciudad Bolívar cuya inversión fue por más de nueve mil millones de pesos. La estrategia también incluyó realizar piezas audiovisuales tales como video clips, cápsulas y su correspondiente (edición, pre y posproducción) de conformidad con los objetivos de comunicación y servicios de la Oficina Asesora de Comunicaciones, Mejoramiento de Barrios, Reasentamientos y Titulación; así como la realización de piezas especiales solicitadas por la OAC.</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Se efectuaron cubrimientos audiovisuales y fotográficos para las diferentes áreas misionales de la Caja de la Vivienda Popular, en las siguientes salidas: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El Espino</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tramo vial Juan José Rondón</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Posesión Planta temporal</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Posesión TIC</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Nivel de Avance Arboleda Santa Teresita</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Casa Arboleda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Se iniciaron acciones para elaborar, proponer y manejar los contenidos para el público que sigue las redes sociales de la Caja de la Vivienda Popular, bajo los parámetros establecidos por el plan Distrital de Desarrollo “Bogotá Mejor Para Todos”. Se divulgó el acuerdo de la Secretaría del Hábitat y la Caja de Vivienda Popular que busca el mejoramiento de la calidad de vida de los hogares localizados en zonas de alto riesgo. Se realizó la planeación estratégica para los conceptos creativos que se desarrollaran para el 2017.</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Se realizaron producciones de contenidos informativos misionales y de interés colectivo para todos los canales de comunicación de la entidad de conformidad con la estrategia de Comunicaciones y mercadeo, en correo masivo, pantallas e intranet.</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realizaron los siguientes cubrimientos audiovisuales: Dirección mejoramiento de barrios Compostela, - Día sin carro, Participantes día sin carro, Arboleda Santa Teresita, Demolición Palmitas, Seguridad y Convivencia. Se desarrolló conceptualmente la campaña “Hacemos parte de tu historia” la cual desprende una campaña complementaria que denominamos (a ti que te inspira).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Se formuló e implemento una campaña informativa que contribuye a construir una cultura de transparencia por medio de las siguientes actividades: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de reparación de Servicio al Ciudadano.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Información sobre las mesas de participación en pantallas.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nos seguimos capacitando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Integración de videos misionales de #Salvandovidas, #MejorViviendaMasSalud para pantallas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Diseño de estrategia comunicativa de transparencia</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lastRenderedPageBreak/>
        <w:t>Creación de guion para apoyo a campaña ¿y a ti que te inspira?, dirigido al público interno de la Entidad.</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Creación de videos y piezas acompañando la campaña de expectativa #ponteloslentes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Elaboración de plan estratégico de Comunicación Interna para el año 2017</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Correos masivos de Reparaciones locativas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apoyando a PIGA sobre Cazavampiros.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Correos masivos sobre reparaciones hechas por la oficina de TIC.</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Pieza informativa para usuarios sobre cierre de servicio al ciudadano.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informando ruta de acceso para el nuevo plan estratégico de la CVP</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Recuerdo Happy Hour de redes sociales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en Intranet de Invitación Kilómetros de aire puro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Intranet de Juntos nos estamos renovando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Circular 04-2017</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Apoyo en el evento, Kilómetros de Aire puro para el Día sin Carro en Bogotá.</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De conformidad con el desarrollo y producción de la Estrategia de Comunicaciones externas y Free Press con referencia al Plan de Medios de la Oficina Asesora de Comunicaciones, se llevaron a cabo entrevistas con varios medios sobre la ejecución de los proyectos de la CVP, estos temas contaron con el cubrimiento de medios de comunicación tales como: ADN, RCN Radio, El Tiempo, Todelar, Emisora La Voz de Bogotá de Todelar, Radio Minuto de Dios, el noticiero de Canal Capital y CityTV- Se divulgó una nota de prensa sobre el estudio liderado por el especialista en Seguridad, Jairo Libreros quien junto a la Secretaría de Seguridad y la CVP realizaron un piloto de identificación de delitos en los conjuntos residenciales de estratos 1 y 2, en donde los retos de convivencia son de mayor impacto.</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Para generar la divulgación de las obras ejecutadas por las misionales de la Caja de la Vivienda Popular, se adelantó una caracterización – Prueba Piloto XIE, para 1.400 familias que habitan conjuntos residenciales, de las localidades de Usme y Ciudad Bolívar, con ello se busca combatir delitos de alto impacto como el pandillismo y la prostitución infantil.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Se llevó a cabo la medición y evaluación respectiva del impacto de la estrategia de comunicaciones externa, en donde se identificaron las debilidades, fortalezas y logros alcanzados, medibles y cuantificables de la entidad a través de los medios de comunicación, la comunidad y los líderes de opinión.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generó el diagnóstico de medios y se planteó el mapa estableciendo </w:t>
      </w:r>
      <w:r w:rsidRPr="00CC51E2">
        <w:rPr>
          <w:rFonts w:ascii="Arial" w:hAnsi="Arial" w:cs="Arial"/>
          <w:i/>
          <w:sz w:val="20"/>
          <w:szCs w:val="20"/>
          <w:lang w:val="es-ES"/>
        </w:rPr>
        <w:t>Tier</w:t>
      </w:r>
      <w:r w:rsidRPr="00CC51E2">
        <w:rPr>
          <w:rFonts w:ascii="Arial" w:hAnsi="Arial" w:cs="Arial"/>
          <w:sz w:val="20"/>
          <w:szCs w:val="20"/>
          <w:lang w:val="es-ES"/>
        </w:rPr>
        <w:t xml:space="preserve"> 1 y </w:t>
      </w:r>
      <w:r w:rsidRPr="00CC51E2">
        <w:rPr>
          <w:rFonts w:ascii="Arial" w:hAnsi="Arial" w:cs="Arial"/>
          <w:i/>
          <w:sz w:val="20"/>
          <w:szCs w:val="20"/>
          <w:lang w:val="es-ES"/>
        </w:rPr>
        <w:t>Tier</w:t>
      </w:r>
      <w:r w:rsidRPr="00CC51E2">
        <w:rPr>
          <w:rFonts w:ascii="Arial" w:hAnsi="Arial" w:cs="Arial"/>
          <w:sz w:val="20"/>
          <w:szCs w:val="20"/>
          <w:lang w:val="es-ES"/>
        </w:rPr>
        <w:t xml:space="preserve"> 2 para identificar los medios importantes. Producto de esta revisión, se logra la aparición del vocero de la CVP: Director General y de los proyectos ejecutados por la CVP y sus misionales en medios pertenecientes al </w:t>
      </w:r>
      <w:r w:rsidRPr="00CC51E2">
        <w:rPr>
          <w:rFonts w:ascii="Arial" w:hAnsi="Arial" w:cs="Arial"/>
          <w:i/>
          <w:sz w:val="20"/>
          <w:szCs w:val="20"/>
          <w:lang w:val="es-ES"/>
        </w:rPr>
        <w:t>Tier</w:t>
      </w:r>
      <w:r w:rsidRPr="00CC51E2">
        <w:rPr>
          <w:rFonts w:ascii="Arial" w:hAnsi="Arial" w:cs="Arial"/>
          <w:sz w:val="20"/>
          <w:szCs w:val="20"/>
          <w:lang w:val="es-ES"/>
        </w:rPr>
        <w:t xml:space="preserve"> 1 como Caracol Radio, RCN Radio.com, Kien y ke y ADN.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Se elaboraron 9 boletines de prensa sobre la gestión adelantada por las misionales y sobre la Rendición de Cuentas y banners informativos para fortalecer la comunicación externa de la entidad con su público de interés, a través de la publicación en la página web, Redes Sociales de la entidad: Facebook, Twitter y YouTube - Se consolida un documento de mediciones de las redes sociales el cual se tomará en cuenta para la retroalimentación a la hora de elaborar las estrategias de la OAC.</w:t>
      </w:r>
    </w:p>
    <w:p w:rsidR="00B52A9F" w:rsidRPr="00CC51E2" w:rsidRDefault="00B52A9F" w:rsidP="00B52A9F">
      <w:pPr>
        <w:pStyle w:val="Prrafodelista"/>
        <w:rPr>
          <w:rFonts w:ascii="Arial" w:hAnsi="Arial" w:cs="Arial"/>
          <w:color w:val="D99594" w:themeColor="accent2" w:themeTint="99"/>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color w:val="D99594" w:themeColor="accent2" w:themeTint="99"/>
          <w:sz w:val="20"/>
          <w:szCs w:val="20"/>
          <w:lang w:val="es-ES"/>
        </w:rPr>
        <w:t xml:space="preserve"> </w:t>
      </w:r>
      <w:r w:rsidRPr="00CC51E2">
        <w:rPr>
          <w:rFonts w:ascii="Arial" w:hAnsi="Arial" w:cs="Arial"/>
          <w:sz w:val="20"/>
          <w:szCs w:val="20"/>
          <w:lang w:val="es-ES"/>
        </w:rPr>
        <w:t>Se presentó el Plan Estratégico de Comunicación Interna a fin de incrementar la Identificación de las personas con la misión y visión de la empresa. Se divulgaron contenidos informativos a los funcionarios sobre los acontecimientos que sucedieron en la Entidad, para satisfacer las necesidades comunicacionales de las áreas existentes en la entidad.</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lastRenderedPageBreak/>
        <w:t>Se construyó, formuló  e implemento una campaña para construir una cultura de transparencia por medio de las siguientes actividades: Recolección de fotos de visitas a campo, proyectando el trabajo de la CVP en pantallas institucionales, correo masivos para información de Memorandos y Circulares generados por las diferentes áreas de la entidad, información sobre procesos de contratos de arrendamientos,  nota día de la mujer, Integración de videos misionales para pantallas, creación de piezas informativas sobre la Ley de transparencia y de acceso a la información pública, lanzamiento de video y a ti, ¿Qué te inspira?, concurso de frases inspiradoras, difusión de las piezas graficas sobre y a ti, ¿Qué te inspira?, creación de piezas informativas sobre la Ley de transparencia y de acceso a la información pública, seguimiento de plan estratégico de Comunicación interna, correos masivos sobre rendición de cuentas de la secretaria del hábitat, Correo masivo apoyando a PIGA sobre el día mundial del agua, Correos masivos sobre reparaciones hechas por la oficina de TIC.</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desarrolla la presentación de manera clara y entendible para la rendición de cuentas de la Dirección de Mejoramiento de Barrios en el evento de los 13 tramos viales de caracolí. Así mismo se hace un </w:t>
      </w:r>
      <w:r w:rsidRPr="00CC51E2">
        <w:rPr>
          <w:rFonts w:ascii="Arial" w:hAnsi="Arial" w:cs="Arial"/>
          <w:i/>
          <w:sz w:val="20"/>
          <w:szCs w:val="20"/>
          <w:lang w:val="es-ES"/>
        </w:rPr>
        <w:t>brochure</w:t>
      </w:r>
      <w:r w:rsidRPr="00CC51E2">
        <w:rPr>
          <w:rFonts w:ascii="Arial" w:hAnsi="Arial" w:cs="Arial"/>
          <w:sz w:val="20"/>
          <w:szCs w:val="20"/>
          <w:lang w:val="es-ES"/>
        </w:rPr>
        <w:t xml:space="preserve"> para la Dirección de Mejoramiento de Vivienda en donde los sociales podrán dar a conocer los beneficios del programa de manera clara con fotos del antes, el después de la intervención. Se hace la presentación de los títulos entregados en las diferentes localidades de la ciudad para ser puesto en redes sociales. Se realizó la publicación semanal del cronograma de actividades realizadas por cada una de las misionales para conocimiento de la ciudadanía. Durante el periodo en Redes Sociales (Twitter) se realizaron 17 trinos, contando con 64.8 K impresiones, de las cuales se destacaron (2) contando con 6.285 impresiones en el Tweet principal del mes de mayo y 80 interacciones en la mención principal del mes.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generó un nuevo canal de comunicación digital por medio de la Intranet, llamado NEWSLETTER con información relevante y de importancia para los funcionarios de la Entidad.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En el marco del Encuentro Ciudadano, realizado el 10 de junio en Ciudad Bolívar se adelantó una estrategia de Free Press con medios de comunicación para divulgar proactivamente la gestión y avances de los programas de Titulación y Urbanización, y Mejoramiento de Vivienda, en el marco de Transparencia.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En TV se hizo registro de 3 apariciones en emisiones de noticias donde se destacan cifras de avance e inversión del programa de Titulación con la entrega de 440 títulos de propiedad. La noticia se publicó en: RCN, CM&amp;, City TV, Canal Capital y Red + Noticias. En prensa escrita y digital, se tuvo impacto en los diarios más importantes de circulación nacional:</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El Tiempo y el Espectador. En radio y su versión digital se registró en el monitoreo de medios: Caracol Radio, Colmundo Radio, Otros medios digitales y alternativos: Diario del Sur, Portal web de la Alcaldía de Bogotá, Subalternativa Estéreo, Adicionalmente la estrategia de Divulgación Proactiva, va acompañada de la realización de material audiovisual de alta calidad narrativa a fin de que beneficiarios, medios y la ciudadanía en general comprendan cómo vamos en la gestión de éstos programas misionales.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actualizó el Esquema de Publicaciones, la sección de noticias, calendario, Planeación, entre otros ítems del botón de Transparencia de la Página Web. Se lleva control a través de la Matriz de Transparencia Activa y Resolución 3564 de 2015. </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llevó a cabo de la campaña “Sintonízate con Transparencia”, Las actividades asociadas a la campaña que se realizaron fueron: Creación de piezas de divulgación en espacios externos a la </w:t>
      </w:r>
      <w:r w:rsidRPr="00CC51E2">
        <w:rPr>
          <w:rFonts w:ascii="Arial" w:hAnsi="Arial" w:cs="Arial"/>
          <w:sz w:val="20"/>
          <w:szCs w:val="20"/>
        </w:rPr>
        <w:lastRenderedPageBreak/>
        <w:t xml:space="preserve">entidad, como en Encuentros de Participación Ciudadana, y medios digitales, piezas con frases, para publicaciones en redes sociales, pantallas y elementos de promoción como </w:t>
      </w:r>
      <w:r w:rsidRPr="00CC51E2">
        <w:rPr>
          <w:rFonts w:ascii="Arial" w:hAnsi="Arial" w:cs="Arial"/>
          <w:i/>
          <w:sz w:val="20"/>
          <w:szCs w:val="20"/>
        </w:rPr>
        <w:t>stickers</w:t>
      </w:r>
      <w:r w:rsidRPr="00CC51E2">
        <w:rPr>
          <w:rFonts w:ascii="Arial" w:hAnsi="Arial" w:cs="Arial"/>
          <w:sz w:val="20"/>
          <w:szCs w:val="20"/>
        </w:rPr>
        <w:t>, marcos para fotos, globos o viñetas.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De acuerdo con la Solicitud de la Dirección de TIC, se elaboró medición del componente de Gobierno Abierto de la Estrategia de Gobierno en Línea que incluye los avances en la implementación de la Ley de Transparencia, la actualización de la información en la página web y el cumplimiento de los criterios de usabilidad y accesibilidad de la misma. Ver anexo matriz: Gobierno Abierto.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 xml:space="preserve">Se realizó acompañamiento en el Encuentro de Participación Ciudadana para presentarle a la ciudadanía informes de gestión de las Direcciones de Titulación y Urbanización, así como para entregar a 440 familias títulos que los hacen propietarios de su casa en Ciudad Bolívar, San Cristóbal, Rafael Uribe, Bosa, Chapinero, Kennedy, Puente Aranda, Santa Fe y Usme. Desde el programa de Mejoramiento de Vivienda, 317 familias recibieron las obras de mejoras de sus viviendas. </w:t>
      </w:r>
      <w:r w:rsidRPr="00CC51E2">
        <w:rPr>
          <w:rFonts w:ascii="Arial" w:hAnsi="Arial" w:cs="Arial"/>
          <w:sz w:val="20"/>
          <w:szCs w:val="20"/>
        </w:rPr>
        <w:t xml:space="preserve">Sobre los Espacios de Participación, se realizaron 4 jornadas de “Soluciones CVP” de la Dirección de Mejoramiento de Vivienda, cuyo objetivo es generar un espacio de participación ciudadana para dialogar con los aspirantes al subsidio de Mejoramiento de Vivienda en Especie y apoyar a los dueños o poseedores en la recolección de los documentos requeridos.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 xml:space="preserve">Se llevó a cabo la planeación, el seguimiento, consecución de la información y revisión de la misma, para atender la auditoria del índice de transparencia y así verificar la correcta implementación de la Ley de Transparencia. </w:t>
      </w:r>
      <w:r w:rsidRPr="00CC51E2">
        <w:rPr>
          <w:rFonts w:ascii="Arial" w:hAnsi="Arial" w:cs="Arial"/>
          <w:sz w:val="20"/>
          <w:szCs w:val="20"/>
        </w:rPr>
        <w:t xml:space="preserve">Sobre la evaluación del Índice de Transparencia, se apoyó la consecución de la información requerida y se diligencio el aplicativo con 135 ítems y 11 formularios en línea y se envió al auditor. Posteriormente se identificaron oportunidades de mejora en algunos procesos de la entidad, a partir de ello, se elaboró una matriz incluyendo acciones de mejora. </w:t>
      </w:r>
    </w:p>
    <w:p w:rsidR="00B52A9F" w:rsidRPr="00CC51E2" w:rsidRDefault="00B52A9F" w:rsidP="00B52A9F">
      <w:pPr>
        <w:pStyle w:val="Prrafodelista"/>
        <w:spacing w:after="160" w:line="259" w:lineRule="auto"/>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desarrollaron imágenes publicitarias que informaron a la comunidad sobre la línea 195 del distrito en contra de la corrupción. Se desarrollaron volantes para dar a conocer los trámites necesarios para las licencias de construcción por parte de la Dirección de Mejoramiento de Vivienda. Se hicieron 3 </w:t>
      </w:r>
      <w:r w:rsidRPr="00CC51E2">
        <w:rPr>
          <w:rFonts w:ascii="Arial" w:hAnsi="Arial" w:cs="Arial"/>
          <w:i/>
          <w:sz w:val="20"/>
          <w:szCs w:val="20"/>
        </w:rPr>
        <w:t>brochures</w:t>
      </w:r>
      <w:r w:rsidRPr="00CC51E2">
        <w:rPr>
          <w:rFonts w:ascii="Arial" w:hAnsi="Arial" w:cs="Arial"/>
          <w:sz w:val="20"/>
          <w:szCs w:val="20"/>
        </w:rPr>
        <w:t xml:space="preserve"> de REAS informativos de las entregas de predios. Se realizó el banner de la página web en donde se comunica la convocatoria en los procesos de selección de bienes y servicios de la Caja de la Vivienda Popular.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realizó la implementación de un Carrusel con los diferentes enlaces de interés relacionados con la entidad. Se hicieron 90 publicaciones, con lo cual se alcanzó 79 K impresiones en Tweets, 2.732 visitas en el perfil, 32 menciones y 11 nuevos seguidores.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una agenda mediática para hablar sobre temas tales como: Contratos de compraventa falsos y Predios sin titulación, Los medios establecidos en la agenda mediática del mes de septiembre fueron los siguientes: Caracol Radio, La FM, Canal Uno, RCN Radio, City TV, Caracol TV y Red Más Noticias, RCN TV, Semana, Portafolio, El Tiempo, El Espectador, Los informantes.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realizó convocatoria a través de los diferentes medios de comunicación para informar sobre las actividades que adelanta la entidad, la que se hizo por medio de foros, encuentros de participación ciudadana, entregas, lanzamientos, conferencias y congresos, así como la elaboración de boletines de prensa correspondiente a las temáticas que garanticen la divulgación efectiva. Se </w:t>
      </w:r>
      <w:r w:rsidRPr="00CC51E2">
        <w:rPr>
          <w:rFonts w:ascii="Arial" w:hAnsi="Arial" w:cs="Arial"/>
          <w:sz w:val="20"/>
          <w:szCs w:val="20"/>
        </w:rPr>
        <w:lastRenderedPageBreak/>
        <w:t>logró la publicación en cuatro medios de comunicación tales como: La Cariñosa de RCN Radio, la República, Caracol.com y Caracol Radio.</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Con relación al canal de YouTube se generaron reportes de métricas, visualizaciones del canal de la temporalidad requerida. Se actualizó el canal de YouTube con los siguientes videos: Estamos cambiando la vida de más habitantes en Usme, Una nueva vida para hogares de Palmitas (Kennedy), Cambios que ya estamos viendo en Caracolí.</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un especial multimedia titulado “Palmitas en blanco y negro” mostrando toda la gestión realizada por la CVP en Kennedy.</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realizaron publicaciones en medios externos para poner a disposición de la ciudadanía información oportuna sobre los proyectos misionales y los resultados de la gestión en términos de ejecución presupuestal, avances de obra e impacto en la calidad de vida de los bogotanos. Las entrevistas, historias de vida y reportajes, salieron en el portal de noticias digitales “Kien y Ke”, y pueden verse en el portal: https://www.kienyke.com/historias/una-casa-nueva-despues-de-vivir-siete-anos-entre-escombros y </w:t>
      </w:r>
      <w:hyperlink r:id="rId186" w:history="1">
        <w:r w:rsidRPr="00CC51E2">
          <w:rPr>
            <w:rStyle w:val="Hipervnculo"/>
            <w:rFonts w:ascii="Arial" w:hAnsi="Arial" w:cs="Arial"/>
            <w:color w:val="auto"/>
            <w:sz w:val="20"/>
            <w:szCs w:val="20"/>
          </w:rPr>
          <w:t>https://www.kienyke.com/historias/maria-lopez-recicladora-presidencial</w:t>
        </w:r>
      </w:hyperlink>
      <w:r w:rsidRPr="00CC51E2">
        <w:rPr>
          <w:rFonts w:ascii="Arial" w:hAnsi="Arial" w:cs="Arial"/>
          <w:sz w:val="20"/>
          <w:szCs w:val="20"/>
        </w:rPr>
        <w:t>.</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actualizó el canal de YouTube de la Caja de la Vivienda Popular y se generaron reporte de métricas, visualizaciones del canal de la temporalidad requerida. Los videos del mes pueden verse en:  https://www.youtube.com/watch?v=pISm_B-9dQg, </w:t>
      </w:r>
      <w:hyperlink r:id="rId187" w:history="1">
        <w:r w:rsidRPr="00CC51E2">
          <w:rPr>
            <w:rStyle w:val="Hipervnculo"/>
            <w:rFonts w:ascii="Arial" w:hAnsi="Arial" w:cs="Arial"/>
            <w:color w:val="auto"/>
            <w:sz w:val="20"/>
            <w:szCs w:val="20"/>
          </w:rPr>
          <w:t>https://www.youtube.com/watch?v=xMJ7_Leqpq0</w:t>
        </w:r>
      </w:hyperlink>
      <w:r w:rsidRPr="00CC51E2">
        <w:rPr>
          <w:rFonts w:ascii="Arial" w:hAnsi="Arial" w:cs="Arial"/>
          <w:sz w:val="20"/>
          <w:szCs w:val="20"/>
        </w:rPr>
        <w:t xml:space="preserve"> y </w:t>
      </w:r>
      <w:hyperlink r:id="rId188" w:history="1">
        <w:r w:rsidRPr="00CC51E2">
          <w:rPr>
            <w:rStyle w:val="Hipervnculo"/>
            <w:rFonts w:ascii="Arial" w:hAnsi="Arial" w:cs="Arial"/>
            <w:color w:val="auto"/>
            <w:sz w:val="20"/>
            <w:szCs w:val="20"/>
          </w:rPr>
          <w:t>https://www.youtube.com/watch?v=NiaS_k5HtqI</w:t>
        </w:r>
      </w:hyperlink>
      <w:r w:rsidRPr="00CC51E2">
        <w:rPr>
          <w:rFonts w:ascii="Arial" w:hAnsi="Arial" w:cs="Arial"/>
          <w:sz w:val="20"/>
          <w:szCs w:val="20"/>
        </w:rPr>
        <w:t>.</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creó el artículo Bogotá limpia 20K, se creó y difundió el Video sintonízate con transparencia, Bogotá Limpia 20K, 10 Mandamientos sostenibles, correo masivo invitando a participar en evaluación de transparencia, correo masivo invitando a participar en evaluación de Control Interno, el papa en Colombia, recomendados del Mes, correo masivo actas de compromiso, correo masivo informando las condiciones para la participación en Bogotá limpia 20K, correo masivo sobre caminata ecológica ofrecida por la CVP a funcionarios de planta fija y temporal, correo masivo y pantallas de utilización adecuada del carnet institucional, correo masivo y pantallas sobre nuevos formatos creados por la oficina de planeación, correo masivo y pantallas, entrega de artículos Te Amo Bogotá, correo masivo invitación día sin carro. Se realizó la diagramación y publicación de la revista digital CVP News. Se hizo la edición y la composición del video solicitado por sistemas para dar a conocer los procesos para el soporte técnico. Se desarrolla el 3D, render y composición de la campaña de Transparencia “Sintonízate con la Transparencia”. Se realizó la publicación de las noticias internas de la entidad. </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la publicación de las noticias correspondientes a las misionales de la entidad, se hicieron 73 publicaciones, con lo cual se alanzó 140 K impresiones en Tweets, 8.101 visitas en el perfil, 31 menciones y 5.031 nuevos seguidores.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realizó diseño gráfico y video para las acciones que adelanta la Oficina Asesora de Comunicaciones para el fortalecimiento institucional para la Transparencia, Participación Ciudadana, Control y Responsabilidad Social y Anticorrupción.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lastRenderedPageBreak/>
        <w:t xml:space="preserve">Se generaron las siguientes actividades: Video en pantallas sobre recolección de datos, Video en pantallas sobre visita del papa, Video en pantallas sobre semana de la Bicicleta, Juegos deportivos internos, Capacitación, Cursos,, Consejería psicológica, Recuerdo de encuesta, Charla secretaria de mujer, Correo masivo sobre satisfacción  de la oficina TIC, Correo masivo con el Nuevo canal para denuncias por actos de anticorrupción, Correo masivo sobre unión a apagón en Bogotá, Correo masivo Bogotá en 100 palabras, Caravana para Ciclo paseo, Correo masivo día de la Responsabilidad Social, Correo masivo día cívico, Nota para intranet sobre día de la responsabilidad Social, Registro fotográfico del día de la responsabilidad social, Registro fotográfico de torneo interno </w:t>
      </w:r>
    </w:p>
    <w:p w:rsidR="00621073" w:rsidRPr="00CC51E2" w:rsidRDefault="00621073" w:rsidP="00621073">
      <w:pPr>
        <w:pStyle w:val="Ttulo1"/>
        <w:widowControl/>
        <w:suppressAutoHyphens w:val="0"/>
        <w:overflowPunct w:val="0"/>
        <w:autoSpaceDE w:val="0"/>
        <w:autoSpaceDN w:val="0"/>
        <w:adjustRightInd w:val="0"/>
        <w:spacing w:line="360" w:lineRule="auto"/>
        <w:textAlignment w:val="baseline"/>
        <w:rPr>
          <w:rFonts w:ascii="Arial" w:hAnsi="Arial" w:cs="Arial"/>
          <w:color w:val="000000" w:themeColor="text1"/>
          <w:sz w:val="20"/>
          <w:szCs w:val="20"/>
        </w:rPr>
      </w:pPr>
      <w:r w:rsidRPr="00CC51E2">
        <w:rPr>
          <w:rFonts w:ascii="Arial" w:hAnsi="Arial" w:cs="Arial"/>
          <w:color w:val="000000" w:themeColor="text1"/>
          <w:sz w:val="20"/>
          <w:szCs w:val="20"/>
        </w:rPr>
        <w:t xml:space="preserve">EJECUCIÓN CONTRACTUAL POR VIGENCIAS </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Vigencia 2016</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la vigencia 2016 se adelantó la siguiente gestión contractual:</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Cinco (5) procesos de licitación pública, de los cuales tres (3) de ellos se desarrollaron bajo la gestión de la Dirección de Gestión Corporativa y CID como responsable de la actividad contractual y dos (2) de ellos bajo la administración de la Dirección Jurídica.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Once (11) procesos de selección abreviada, de los cuales nueve (9) se llevaron a cabo a través del procedimiento de subasta inversa presencial y los dos (2) restantes a través del procedimiento de menor cuantía. De los once (11) procesos descritos, siete (7) fueron desarrollados bajo la gestión de la Dirección de Gestión Corporativa y CID como responsable de la actividad contractual de la entidad y cuatro (4) de ellos bajo la administración de la Dirección Jurídica.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b/>
          <w:sz w:val="20"/>
          <w:szCs w:val="20"/>
        </w:rPr>
      </w:pPr>
      <w:r w:rsidRPr="00CC51E2">
        <w:rPr>
          <w:rFonts w:ascii="Arial" w:hAnsi="Arial" w:cs="Arial"/>
          <w:sz w:val="20"/>
          <w:szCs w:val="20"/>
        </w:rPr>
        <w:t>Siete (7) procesos de concurso de méritos, siete (7), que resultaron adjudicados, fueron desarrollados bajo la gestión de la Dirección de Gestión Corporativa y CID como responsable de la actividad contractual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Treinta y dos (32) procesos de selección de mínima cuantía, de los cuales (29) fueron desarrollados bajo la gestión de la Dirección de Gestión Corporativa y CID como responsable de la actividad contractual de la entidad y tres (3) de ellos bajo la administración de la Dirección Jurídica.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tabs>
          <w:tab w:val="left" w:pos="1695"/>
        </w:tabs>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b/>
          <w:sz w:val="20"/>
          <w:szCs w:val="20"/>
        </w:rPr>
        <w:t>5.1. RESULTA</w:t>
      </w:r>
      <w:r w:rsidRPr="00CC51E2">
        <w:rPr>
          <w:rFonts w:ascii="Arial" w:hAnsi="Arial" w:cs="Arial"/>
          <w:b/>
          <w:bCs/>
          <w:sz w:val="20"/>
          <w:szCs w:val="20"/>
        </w:rPr>
        <w:t>DOS GENERALES DEL PROCESO DE ACUERDO CON LAS MODALIDADES DE SELECCIÓN.</w:t>
      </w:r>
    </w:p>
    <w:p w:rsidR="00B52A9F" w:rsidRPr="00CC51E2" w:rsidRDefault="00B52A9F" w:rsidP="00B52A9F">
      <w:pPr>
        <w:spacing w:after="0" w:line="240" w:lineRule="auto"/>
        <w:jc w:val="both"/>
        <w:rPr>
          <w:rFonts w:ascii="Arial" w:hAnsi="Arial" w:cs="Arial"/>
          <w:b/>
          <w:bCs/>
          <w:color w:val="FF0000"/>
          <w:sz w:val="20"/>
          <w:szCs w:val="20"/>
        </w:rPr>
      </w:pPr>
      <w:r w:rsidRPr="00CC51E2">
        <w:rPr>
          <w:rFonts w:ascii="Arial" w:hAnsi="Arial" w:cs="Arial"/>
          <w:b/>
          <w:bCs/>
          <w:color w:val="FF0000"/>
          <w:sz w:val="20"/>
          <w:szCs w:val="20"/>
        </w:rPr>
        <w:t xml:space="preserve"> </w:t>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De conformidad con las cifras anteriormente reportadas, debe precisarse que durante la gestión de la Dirección de Gestión Corporativa y CID como responsable de la gestión contractual, se adelantaron el 75,80% de los procesos de selección llevados a cabo por la entidad durante la vigencia 2016.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Dentro de esta cifra, debe reportarse que se logró la adjudicación del 91,48% de los procesos adelantados y que se obtuvo una gran concurrencia de oferentes a los mismos, logrando de esta manera avanzar hacía una gestión contractual transparente y elaborada bajo los preceptos de igualdad y reglas justas y claras para cada uno de los interesados en participar.   </w:t>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Así las cosas, debe señalarse que bajo la gestión se realizaron 47 de los 62 procesos de convocatoria pública realizados por la entidad, dentro de los cuales se obtuvieron los siguientes porcentajes de relevancia:</w:t>
      </w:r>
    </w:p>
    <w:p w:rsidR="00B52A9F" w:rsidRPr="00CC51E2" w:rsidRDefault="00B52A9F" w:rsidP="00B52A9F">
      <w:pPr>
        <w:pStyle w:val="Descripcin"/>
        <w:keepNext/>
        <w:spacing w:after="0"/>
        <w:jc w:val="center"/>
        <w:rPr>
          <w:rFonts w:ascii="Arial" w:hAnsi="Arial" w:cs="Arial"/>
          <w:bCs w:val="0"/>
          <w:color w:val="auto"/>
          <w:sz w:val="20"/>
          <w:szCs w:val="20"/>
        </w:rPr>
      </w:pPr>
      <w:bookmarkStart w:id="47" w:name="_Toc499197857"/>
      <w:r w:rsidRPr="00CC51E2">
        <w:rPr>
          <w:rFonts w:ascii="Arial" w:hAnsi="Arial" w:cs="Arial"/>
          <w:color w:val="auto"/>
          <w:sz w:val="20"/>
          <w:szCs w:val="20"/>
        </w:rPr>
        <w:lastRenderedPageBreak/>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12</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2016</w:t>
      </w:r>
      <w:bookmarkEnd w:id="47"/>
    </w:p>
    <w:tbl>
      <w:tblPr>
        <w:tblW w:w="4300" w:type="dxa"/>
        <w:tblInd w:w="2324" w:type="dxa"/>
        <w:tblCellMar>
          <w:left w:w="70" w:type="dxa"/>
          <w:right w:w="70" w:type="dxa"/>
        </w:tblCellMar>
        <w:tblLook w:val="04A0" w:firstRow="1" w:lastRow="0" w:firstColumn="1" w:lastColumn="0" w:noHBand="0" w:noVBand="1"/>
      </w:tblPr>
      <w:tblGrid>
        <w:gridCol w:w="1660"/>
        <w:gridCol w:w="1320"/>
        <w:gridCol w:w="1320"/>
      </w:tblGrid>
      <w:tr w:rsidR="00B52A9F" w:rsidRPr="00CC51E2" w:rsidTr="00FB40A1">
        <w:trPr>
          <w:trHeight w:val="330"/>
        </w:trPr>
        <w:tc>
          <w:tcPr>
            <w:tcW w:w="16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MODALIDAD</w:t>
            </w:r>
          </w:p>
        </w:tc>
        <w:tc>
          <w:tcPr>
            <w:tcW w:w="1320" w:type="dxa"/>
            <w:tcBorders>
              <w:top w:val="single" w:sz="8" w:space="0" w:color="auto"/>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CANTIDAD</w:t>
            </w:r>
          </w:p>
        </w:tc>
        <w:tc>
          <w:tcPr>
            <w:tcW w:w="1320" w:type="dxa"/>
            <w:tcBorders>
              <w:top w:val="single" w:sz="8" w:space="0" w:color="auto"/>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INCIDENCIA</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LICITACIÓN PÚBLICA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5</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CONCURSO DE MÉRITOS</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7</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SELECCIÓN ABREVIADA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r>
      <w:tr w:rsidR="00B52A9F" w:rsidRPr="00CC51E2" w:rsidTr="00FB40A1">
        <w:trPr>
          <w:trHeight w:val="330"/>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MÍNIMA CUANTÍA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32</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w:t>
            </w:r>
          </w:p>
        </w:tc>
      </w:tr>
      <w:tr w:rsidR="00B52A9F" w:rsidRPr="00CC51E2" w:rsidTr="00FB40A1">
        <w:trPr>
          <w:trHeight w:val="330"/>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TOTAL (*)</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55</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100%</w:t>
            </w:r>
          </w:p>
        </w:tc>
      </w:tr>
    </w:tbl>
    <w:p w:rsidR="00B52A9F" w:rsidRPr="00CC51E2" w:rsidRDefault="00B52A9F" w:rsidP="00B52A9F">
      <w:pPr>
        <w:spacing w:after="0" w:line="240" w:lineRule="auto"/>
        <w:jc w:val="center"/>
        <w:rPr>
          <w:rFonts w:ascii="Arial" w:hAnsi="Arial" w:cs="Arial"/>
          <w:bCs/>
          <w:sz w:val="20"/>
          <w:szCs w:val="20"/>
        </w:rPr>
      </w:pPr>
    </w:p>
    <w:p w:rsidR="00B52A9F" w:rsidRPr="00CC51E2" w:rsidRDefault="00B52A9F" w:rsidP="00B52A9F">
      <w:pPr>
        <w:jc w:val="both"/>
        <w:rPr>
          <w:rFonts w:ascii="Arial" w:hAnsi="Arial" w:cs="Arial"/>
          <w:bCs/>
          <w:sz w:val="20"/>
          <w:szCs w:val="20"/>
        </w:rPr>
      </w:pPr>
      <w:r w:rsidRPr="00CC51E2">
        <w:rPr>
          <w:rFonts w:ascii="Arial" w:hAnsi="Arial" w:cs="Arial"/>
          <w:bCs/>
          <w:sz w:val="20"/>
          <w:szCs w:val="20"/>
        </w:rPr>
        <w:t>(*) El porcentaje de error de la muestra es del 0,01%, por cuestiones de aproximación.</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pStyle w:val="Descripcin"/>
        <w:spacing w:after="0"/>
        <w:jc w:val="center"/>
        <w:rPr>
          <w:rFonts w:ascii="Arial" w:hAnsi="Arial" w:cs="Arial"/>
          <w:color w:val="auto"/>
          <w:sz w:val="20"/>
          <w:szCs w:val="20"/>
          <w:lang w:val="es-ES"/>
        </w:rPr>
      </w:pPr>
      <w:bookmarkStart w:id="48" w:name="_Toc499197835"/>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Procesos de acuerdo a las modalidades de selección</w:t>
      </w:r>
      <w:bookmarkEnd w:id="48"/>
    </w:p>
    <w:p w:rsidR="00B52A9F" w:rsidRPr="00CC51E2" w:rsidRDefault="00B52A9F" w:rsidP="00B52A9F">
      <w:pPr>
        <w:spacing w:after="0" w:line="240" w:lineRule="auto"/>
        <w:jc w:val="center"/>
        <w:rPr>
          <w:rFonts w:ascii="Arial" w:hAnsi="Arial" w:cs="Arial"/>
          <w:bCs/>
          <w:sz w:val="20"/>
          <w:szCs w:val="20"/>
        </w:rPr>
      </w:pPr>
      <w:r w:rsidRPr="00CC51E2">
        <w:rPr>
          <w:rFonts w:ascii="Arial" w:hAnsi="Arial" w:cs="Arial"/>
          <w:bCs/>
          <w:noProof/>
          <w:sz w:val="20"/>
          <w:szCs w:val="20"/>
          <w:lang w:val="es-ES" w:eastAsia="es-ES"/>
        </w:rPr>
        <w:drawing>
          <wp:inline distT="0" distB="0" distL="0" distR="0" wp14:anchorId="068546FF" wp14:editId="42015BA2">
            <wp:extent cx="4371975" cy="2847975"/>
            <wp:effectExtent l="0" t="0" r="0" b="0"/>
            <wp:docPr id="522" name="Gráfico 522">
              <a:extLst xmlns:a="http://schemas.openxmlformats.org/drawingml/2006/main">
                <a:ext uri="{FF2B5EF4-FFF2-40B4-BE49-F238E27FC236}">
                  <a16:creationId xmlns:a16="http://schemas.microsoft.com/office/drawing/2014/main" id="{9C0CB969-19C4-4CDE-94A9-F289A980D8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CC51E2" w:rsidRDefault="00CC51E2">
      <w:pPr>
        <w:spacing w:after="0" w:line="240" w:lineRule="auto"/>
        <w:rPr>
          <w:rFonts w:ascii="Arial" w:hAnsi="Arial" w:cs="Arial"/>
          <w:bCs/>
          <w:sz w:val="20"/>
          <w:szCs w:val="20"/>
        </w:rPr>
      </w:pPr>
      <w:r>
        <w:rPr>
          <w:rFonts w:ascii="Arial" w:hAnsi="Arial" w:cs="Arial"/>
          <w:bCs/>
          <w:sz w:val="20"/>
          <w:szCs w:val="20"/>
        </w:rPr>
        <w:br w:type="page"/>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lastRenderedPageBreak/>
        <w:t xml:space="preserve">En la siguiente gráfica se detallan los valores contratados por cada modalidad de selección: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keepNext/>
        <w:spacing w:after="0" w:line="240" w:lineRule="auto"/>
        <w:jc w:val="center"/>
        <w:rPr>
          <w:rFonts w:ascii="Arial" w:hAnsi="Arial" w:cs="Arial"/>
          <w:sz w:val="20"/>
          <w:szCs w:val="20"/>
          <w:lang w:val="es-ES"/>
        </w:rPr>
      </w:pPr>
      <w:bookmarkStart w:id="49" w:name="_Toc499197836"/>
      <w:r w:rsidRPr="00CC51E2">
        <w:rPr>
          <w:rFonts w:ascii="Arial" w:hAnsi="Arial" w:cs="Arial"/>
          <w:sz w:val="20"/>
          <w:szCs w:val="20"/>
        </w:rPr>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8</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hAnsi="Arial" w:cs="Arial"/>
          <w:sz w:val="20"/>
          <w:szCs w:val="20"/>
          <w:lang w:val="es-ES"/>
        </w:rPr>
        <w:t>valores adjudicados por modalidad de selección</w:t>
      </w:r>
      <w:bookmarkEnd w:id="49"/>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b/>
          <w:bCs/>
          <w:noProof/>
          <w:sz w:val="20"/>
          <w:szCs w:val="20"/>
          <w:lang w:val="es-ES" w:eastAsia="es-ES"/>
        </w:rPr>
        <w:drawing>
          <wp:inline distT="0" distB="0" distL="0" distR="0" wp14:anchorId="49253C21" wp14:editId="34809581">
            <wp:extent cx="5972175" cy="3971925"/>
            <wp:effectExtent l="0" t="0" r="0" b="0"/>
            <wp:docPr id="523" name="Gráfico 523">
              <a:extLst xmlns:a="http://schemas.openxmlformats.org/drawingml/2006/main">
                <a:ext uri="{FF2B5EF4-FFF2-40B4-BE49-F238E27FC236}">
                  <a16:creationId xmlns:a16="http://schemas.microsoft.com/office/drawing/2014/main" id="{6BE209B1-BD56-41C5-9073-14EE70729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621073" w:rsidRPr="00CC51E2" w:rsidRDefault="00621073">
      <w:pPr>
        <w:spacing w:after="0" w:line="240" w:lineRule="auto"/>
        <w:rPr>
          <w:rFonts w:ascii="Arial" w:hAnsi="Arial" w:cs="Arial"/>
          <w:bCs/>
          <w:sz w:val="20"/>
          <w:szCs w:val="20"/>
        </w:rPr>
      </w:pPr>
      <w:r w:rsidRPr="00CC51E2">
        <w:rPr>
          <w:rFonts w:ascii="Arial" w:hAnsi="Arial" w:cs="Arial"/>
          <w:bCs/>
          <w:sz w:val="20"/>
          <w:szCs w:val="20"/>
        </w:rPr>
        <w:br w:type="page"/>
      </w:r>
    </w:p>
    <w:p w:rsidR="00621073" w:rsidRPr="00CC51E2" w:rsidRDefault="00B52A9F" w:rsidP="00621073">
      <w:pPr>
        <w:spacing w:after="0" w:line="240" w:lineRule="auto"/>
        <w:jc w:val="both"/>
        <w:rPr>
          <w:rFonts w:ascii="Arial" w:hAnsi="Arial" w:cs="Arial"/>
          <w:bCs/>
          <w:sz w:val="20"/>
          <w:szCs w:val="20"/>
        </w:rPr>
      </w:pPr>
      <w:r w:rsidRPr="00CC51E2">
        <w:rPr>
          <w:rFonts w:ascii="Arial" w:hAnsi="Arial" w:cs="Arial"/>
          <w:bCs/>
          <w:sz w:val="20"/>
          <w:szCs w:val="20"/>
        </w:rPr>
        <w:lastRenderedPageBreak/>
        <w:t>En la siguiente gráfica se presenta el valor del presupuesto asignado vs valor adjudicado</w:t>
      </w:r>
      <w:bookmarkStart w:id="50" w:name="_Toc499197837"/>
    </w:p>
    <w:p w:rsidR="00621073" w:rsidRPr="00CC51E2" w:rsidRDefault="00621073" w:rsidP="00621073">
      <w:pPr>
        <w:spacing w:after="0" w:line="240" w:lineRule="auto"/>
        <w:jc w:val="both"/>
        <w:rPr>
          <w:rFonts w:ascii="Arial" w:hAnsi="Arial" w:cs="Arial"/>
          <w:bCs/>
          <w:sz w:val="20"/>
          <w:szCs w:val="20"/>
        </w:rPr>
      </w:pPr>
    </w:p>
    <w:p w:rsidR="00B52A9F" w:rsidRPr="00CC51E2" w:rsidRDefault="00B52A9F" w:rsidP="00621073">
      <w:pPr>
        <w:spacing w:after="0" w:line="240" w:lineRule="auto"/>
        <w:jc w:val="center"/>
        <w:rPr>
          <w:rFonts w:ascii="Arial" w:hAnsi="Arial" w:cs="Arial"/>
          <w:sz w:val="20"/>
          <w:szCs w:val="20"/>
        </w:rPr>
      </w:pPr>
      <w:r w:rsidRPr="00CC51E2">
        <w:rPr>
          <w:rFonts w:ascii="Arial" w:hAnsi="Arial" w:cs="Arial"/>
          <w:sz w:val="20"/>
          <w:szCs w:val="20"/>
        </w:rPr>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9</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hAnsi="Arial" w:cs="Arial"/>
          <w:sz w:val="20"/>
          <w:szCs w:val="20"/>
          <w:lang w:val="es-ES"/>
        </w:rPr>
        <w:t>valores adjudicados por modalidad de selección</w:t>
      </w:r>
      <w:bookmarkEnd w:id="50"/>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noProof/>
          <w:sz w:val="20"/>
          <w:szCs w:val="20"/>
          <w:lang w:val="es-ES" w:eastAsia="es-ES"/>
        </w:rPr>
        <w:drawing>
          <wp:inline distT="0" distB="0" distL="0" distR="0" wp14:anchorId="43F455B2" wp14:editId="0F8873B8">
            <wp:extent cx="5972175" cy="3446284"/>
            <wp:effectExtent l="0" t="0" r="9525"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72175" cy="3446284"/>
                    </a:xfrm>
                    <a:prstGeom prst="rect">
                      <a:avLst/>
                    </a:prstGeom>
                    <a:noFill/>
                    <a:ln>
                      <a:noFill/>
                    </a:ln>
                  </pic:spPr>
                </pic:pic>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621073" w:rsidRPr="00CC51E2" w:rsidRDefault="00621073">
      <w:pPr>
        <w:spacing w:after="0" w:line="240" w:lineRule="auto"/>
        <w:rPr>
          <w:rFonts w:ascii="Arial" w:hAnsi="Arial" w:cs="Arial"/>
          <w:bCs/>
          <w:sz w:val="20"/>
          <w:szCs w:val="20"/>
        </w:rPr>
      </w:pPr>
      <w:r w:rsidRPr="00CC51E2">
        <w:rPr>
          <w:rFonts w:ascii="Arial" w:hAnsi="Arial" w:cs="Arial"/>
          <w:bCs/>
          <w:sz w:val="20"/>
          <w:szCs w:val="20"/>
        </w:rPr>
        <w:br w:type="page"/>
      </w:r>
    </w:p>
    <w:p w:rsidR="00B52A9F" w:rsidRPr="00CC51E2" w:rsidRDefault="00B52A9F" w:rsidP="00B52A9F">
      <w:pPr>
        <w:jc w:val="both"/>
        <w:rPr>
          <w:rFonts w:ascii="Arial" w:hAnsi="Arial" w:cs="Arial"/>
          <w:bCs/>
          <w:sz w:val="20"/>
          <w:szCs w:val="20"/>
        </w:rPr>
      </w:pPr>
      <w:r w:rsidRPr="00CC51E2">
        <w:rPr>
          <w:rFonts w:ascii="Arial" w:hAnsi="Arial" w:cs="Arial"/>
          <w:bCs/>
          <w:sz w:val="20"/>
          <w:szCs w:val="20"/>
        </w:rPr>
        <w:lastRenderedPageBreak/>
        <w:t>En la siguiente gráfica se presenta en detalle, las cifras en pesos ahorradas por la entidad, por cada una de las diferentes modalidades: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pStyle w:val="Descripcin"/>
        <w:spacing w:after="0"/>
        <w:jc w:val="center"/>
        <w:rPr>
          <w:rFonts w:ascii="Arial" w:hAnsi="Arial" w:cs="Arial"/>
          <w:color w:val="auto"/>
          <w:sz w:val="20"/>
          <w:szCs w:val="20"/>
          <w:lang w:val="es-ES"/>
        </w:rPr>
      </w:pPr>
      <w:bookmarkStart w:id="51" w:name="_Toc499197838"/>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10</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ahorro generado por la entidad</w:t>
      </w:r>
      <w:bookmarkEnd w:id="51"/>
    </w:p>
    <w:p w:rsidR="00B52A9F" w:rsidRPr="00CC51E2" w:rsidRDefault="00B52A9F" w:rsidP="00B52A9F">
      <w:pPr>
        <w:spacing w:after="0" w:line="240" w:lineRule="auto"/>
        <w:jc w:val="center"/>
        <w:rPr>
          <w:rFonts w:ascii="Arial" w:hAnsi="Arial" w:cs="Arial"/>
          <w:b/>
          <w:bCs/>
          <w:sz w:val="20"/>
          <w:szCs w:val="20"/>
        </w:rPr>
      </w:pPr>
      <w:r w:rsidRPr="00CC51E2">
        <w:rPr>
          <w:rFonts w:ascii="Arial" w:hAnsi="Arial" w:cs="Arial"/>
          <w:b/>
          <w:bCs/>
          <w:noProof/>
          <w:sz w:val="20"/>
          <w:szCs w:val="20"/>
          <w:lang w:val="es-ES" w:eastAsia="es-ES"/>
        </w:rPr>
        <w:drawing>
          <wp:inline distT="0" distB="0" distL="0" distR="0" wp14:anchorId="00CC1C76" wp14:editId="316C7A57">
            <wp:extent cx="5972175" cy="3028950"/>
            <wp:effectExtent l="0" t="0" r="0" b="0"/>
            <wp:docPr id="525" name="Gráfico 525">
              <a:extLst xmlns:a="http://schemas.openxmlformats.org/drawingml/2006/main">
                <a:ext uri="{FF2B5EF4-FFF2-40B4-BE49-F238E27FC236}">
                  <a16:creationId xmlns:a16="http://schemas.microsoft.com/office/drawing/2014/main" id="{E28908AB-C85B-4AD6-85C9-03C191343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jc w:val="both"/>
        <w:rPr>
          <w:rFonts w:ascii="Arial" w:hAnsi="Arial" w:cs="Arial"/>
          <w:b/>
          <w:bCs/>
          <w:sz w:val="20"/>
          <w:szCs w:val="20"/>
        </w:rPr>
      </w:pPr>
      <w:r w:rsidRPr="00CC51E2">
        <w:rPr>
          <w:rFonts w:ascii="Arial" w:hAnsi="Arial" w:cs="Arial"/>
          <w:b/>
          <w:bCs/>
          <w:sz w:val="20"/>
          <w:szCs w:val="20"/>
        </w:rPr>
        <w:t>5.2. Concurrencia a las modalidades de selección.</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Como se ha expresado, una de las metas planteadas al momento de adquirir la responsabilidad de liderar el proceso de adquisición de bienes y servicios, fue garantizar que los procesos de selección se desarrollarán bajo los mayores preceptos de pluralidad y transparencia, entendiéndose entonces, que a mayor cantidad de oferentes mayor aplicación de reglas claras y justas entre todos los interesados.</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Este postulado se entiende cumplido, teniendo en cuenta la siguiente gráfica que refleja la concurrencia a cada una de las modalidades de selección:</w:t>
      </w:r>
    </w:p>
    <w:p w:rsidR="00B52A9F" w:rsidRPr="00CC51E2" w:rsidRDefault="00B52A9F" w:rsidP="00B52A9F">
      <w:pPr>
        <w:spacing w:after="0" w:line="240" w:lineRule="auto"/>
        <w:rPr>
          <w:rFonts w:ascii="Arial" w:hAnsi="Arial" w:cs="Arial"/>
          <w:sz w:val="20"/>
          <w:szCs w:val="20"/>
          <w:lang w:val="es-ES"/>
        </w:rPr>
      </w:pPr>
    </w:p>
    <w:p w:rsidR="00621073" w:rsidRPr="00CC51E2" w:rsidRDefault="00621073" w:rsidP="00B52A9F">
      <w:pPr>
        <w:pStyle w:val="Descripcin"/>
        <w:spacing w:after="0"/>
        <w:jc w:val="center"/>
        <w:rPr>
          <w:rFonts w:ascii="Arial" w:hAnsi="Arial" w:cs="Arial"/>
          <w:color w:val="auto"/>
          <w:sz w:val="20"/>
          <w:szCs w:val="20"/>
        </w:rPr>
      </w:pPr>
      <w:bookmarkStart w:id="52" w:name="_Toc499197839"/>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CC51E2" w:rsidRDefault="00CC51E2">
      <w:pPr>
        <w:spacing w:after="0" w:line="240" w:lineRule="auto"/>
        <w:rPr>
          <w:rFonts w:ascii="Arial" w:hAnsi="Arial" w:cs="Arial"/>
          <w:b/>
          <w:bCs/>
          <w:sz w:val="20"/>
          <w:szCs w:val="20"/>
        </w:rPr>
      </w:pPr>
      <w:r>
        <w:rPr>
          <w:rFonts w:ascii="Arial" w:hAnsi="Arial" w:cs="Arial"/>
          <w:sz w:val="20"/>
          <w:szCs w:val="20"/>
        </w:rPr>
        <w:br w:type="page"/>
      </w:r>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B52A9F" w:rsidRPr="00CC51E2" w:rsidRDefault="00B52A9F" w:rsidP="00B52A9F">
      <w:pPr>
        <w:pStyle w:val="Descripcin"/>
        <w:spacing w:after="0"/>
        <w:jc w:val="center"/>
        <w:rPr>
          <w:rFonts w:ascii="Arial" w:hAnsi="Arial" w:cs="Arial"/>
          <w:color w:val="auto"/>
          <w:sz w:val="20"/>
          <w:szCs w:val="20"/>
          <w:lang w:val="es-ES"/>
        </w:rPr>
      </w:pPr>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11</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concurrencia de proponentes</w:t>
      </w:r>
      <w:bookmarkEnd w:id="52"/>
    </w:p>
    <w:p w:rsidR="00B52A9F" w:rsidRPr="00CC51E2" w:rsidRDefault="00B52A9F" w:rsidP="00B52A9F">
      <w:pPr>
        <w:spacing w:line="240" w:lineRule="auto"/>
        <w:jc w:val="center"/>
        <w:rPr>
          <w:rFonts w:ascii="Arial" w:hAnsi="Arial" w:cs="Arial"/>
          <w:bCs/>
          <w:sz w:val="20"/>
          <w:szCs w:val="20"/>
        </w:rPr>
      </w:pPr>
      <w:r w:rsidRPr="00CC51E2">
        <w:rPr>
          <w:rFonts w:ascii="Arial" w:hAnsi="Arial" w:cs="Arial"/>
          <w:bCs/>
          <w:noProof/>
          <w:sz w:val="20"/>
          <w:szCs w:val="20"/>
          <w:lang w:val="es-ES" w:eastAsia="es-ES"/>
        </w:rPr>
        <w:drawing>
          <wp:inline distT="0" distB="0" distL="0" distR="0" wp14:anchorId="299E1A2C" wp14:editId="315EE2AA">
            <wp:extent cx="4657725" cy="2124075"/>
            <wp:effectExtent l="0" t="0" r="9525" b="9525"/>
            <wp:docPr id="526" name="Gráfico 526">
              <a:extLst xmlns:a="http://schemas.openxmlformats.org/drawingml/2006/main">
                <a:ext uri="{FF2B5EF4-FFF2-40B4-BE49-F238E27FC236}">
                  <a16:creationId xmlns:a16="http://schemas.microsoft.com/office/drawing/2014/main" id="{E3CD6D00-3787-4C57-8B7E-D4C25D3D08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B52A9F" w:rsidRPr="00CC51E2" w:rsidRDefault="00B52A9F" w:rsidP="00B52A9F">
      <w:pPr>
        <w:spacing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Teniendo en cuenta la cantidad de proponentes que se presentaron a los procesos de selección adelantados por la CVP en la vigencia 2016, versus la cantidad de procesos que se adelantaron, se obtiene el siguiente promedio general de participación:</w:t>
      </w:r>
    </w:p>
    <w:p w:rsidR="00B52A9F" w:rsidRPr="00CC51E2" w:rsidRDefault="00B52A9F" w:rsidP="00B52A9F">
      <w:pPr>
        <w:pStyle w:val="Descripcin"/>
        <w:keepNext/>
        <w:spacing w:after="0"/>
        <w:jc w:val="center"/>
        <w:rPr>
          <w:rFonts w:ascii="Arial" w:hAnsi="Arial" w:cs="Arial"/>
          <w:bCs w:val="0"/>
          <w:color w:val="auto"/>
          <w:sz w:val="20"/>
          <w:szCs w:val="20"/>
        </w:rPr>
      </w:pPr>
      <w:bookmarkStart w:id="53" w:name="_Toc499197858"/>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13</w:t>
      </w:r>
      <w:r w:rsidRPr="00CC51E2">
        <w:rPr>
          <w:rFonts w:ascii="Arial" w:hAnsi="Arial" w:cs="Arial"/>
          <w:color w:val="auto"/>
          <w:sz w:val="20"/>
          <w:szCs w:val="20"/>
        </w:rPr>
        <w:fldChar w:fldCharType="end"/>
      </w:r>
      <w:r w:rsidRPr="00CC51E2">
        <w:rPr>
          <w:rFonts w:ascii="Arial" w:hAnsi="Arial" w:cs="Arial"/>
          <w:color w:val="auto"/>
          <w:sz w:val="20"/>
          <w:szCs w:val="20"/>
        </w:rPr>
        <w:t xml:space="preserve"> </w:t>
      </w:r>
      <w:r w:rsidRPr="00CC51E2">
        <w:rPr>
          <w:rFonts w:ascii="Arial" w:hAnsi="Arial" w:cs="Arial"/>
          <w:bCs w:val="0"/>
          <w:color w:val="auto"/>
          <w:sz w:val="20"/>
          <w:szCs w:val="20"/>
        </w:rPr>
        <w:t>Procesos de selección vigencia 2016</w:t>
      </w:r>
      <w:bookmarkEnd w:id="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3"/>
        <w:gridCol w:w="1718"/>
        <w:gridCol w:w="1903"/>
      </w:tblGrid>
      <w:tr w:rsidR="00B52A9F" w:rsidRPr="00CC51E2" w:rsidTr="00FB40A1">
        <w:trPr>
          <w:jc w:val="center"/>
        </w:trPr>
        <w:tc>
          <w:tcPr>
            <w:tcW w:w="1963"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MODALIDAD</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CANTIDAD DE PROCESOS</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CANTIDAD DE PROPONENTES</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LICITACIÓN PÚBLICA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5</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180</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SELECCIÓN ABREVIADA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11</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107</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CONCURSO DE MÉRITOS</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7</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56</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MÍNIMA CUANTÍA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32</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194</w:t>
            </w:r>
          </w:p>
        </w:tc>
      </w:tr>
    </w:tbl>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Respecto de los concursos de méritos, no se tienen en cuenta los dos (2) procesos que se descartaron previo a la apertura de los mismos.</w:t>
      </w:r>
    </w:p>
    <w:p w:rsidR="00CC51E2" w:rsidRDefault="00CC51E2">
      <w:pPr>
        <w:spacing w:after="0" w:line="240" w:lineRule="auto"/>
        <w:rPr>
          <w:rFonts w:ascii="Arial" w:hAnsi="Arial" w:cs="Arial"/>
          <w:bCs/>
          <w:sz w:val="20"/>
          <w:szCs w:val="20"/>
        </w:rPr>
      </w:pPr>
      <w:r>
        <w:rPr>
          <w:rFonts w:ascii="Arial" w:hAnsi="Arial" w:cs="Arial"/>
          <w:bCs/>
          <w:sz w:val="20"/>
          <w:szCs w:val="20"/>
        </w:rPr>
        <w:br w:type="page"/>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57468E">
      <w:pPr>
        <w:pStyle w:val="Default"/>
        <w:numPr>
          <w:ilvl w:val="1"/>
          <w:numId w:val="65"/>
        </w:numPr>
        <w:jc w:val="both"/>
        <w:rPr>
          <w:sz w:val="20"/>
          <w:szCs w:val="20"/>
        </w:rPr>
      </w:pPr>
      <w:r w:rsidRPr="00CC51E2">
        <w:rPr>
          <w:b/>
          <w:sz w:val="20"/>
          <w:szCs w:val="20"/>
        </w:rPr>
        <w:t xml:space="preserve">IMPLEMENTACIÓN DEL PROCEDIMIENTO </w:t>
      </w:r>
      <w:r w:rsidRPr="00CC51E2">
        <w:rPr>
          <w:b/>
          <w:bCs/>
          <w:sz w:val="20"/>
          <w:szCs w:val="20"/>
        </w:rPr>
        <w:t xml:space="preserve">IMPOSICIÓN DE MULTAS, SANCIONES Y DECLARATORIAS DE INCUMPLIMIENTO </w:t>
      </w:r>
    </w:p>
    <w:p w:rsidR="00B52A9F" w:rsidRPr="00CC51E2" w:rsidRDefault="00B52A9F" w:rsidP="00B52A9F">
      <w:pPr>
        <w:tabs>
          <w:tab w:val="left" w:pos="7856"/>
        </w:tabs>
        <w:spacing w:after="0"/>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r w:rsidRPr="00CC51E2">
        <w:rPr>
          <w:rFonts w:ascii="Arial" w:hAnsi="Arial" w:cs="Arial"/>
          <w:sz w:val="20"/>
          <w:szCs w:val="20"/>
        </w:rPr>
        <w:t>El proceso de adquisición de bienes y servicios creó el procedimiento enunciado y adelantó (8) procesos de incumplimiento para conminar a los contratistas a dar cumplimiento a las obligaciones contractuales, el detalle se describe de la siguiente manera:</w:t>
      </w:r>
    </w:p>
    <w:p w:rsidR="00B52A9F" w:rsidRPr="00CC51E2" w:rsidRDefault="00B52A9F" w:rsidP="00B52A9F">
      <w:pPr>
        <w:spacing w:after="0" w:line="240" w:lineRule="auto"/>
        <w:jc w:val="center"/>
        <w:rPr>
          <w:rFonts w:ascii="Arial" w:hAnsi="Arial" w:cs="Arial"/>
          <w:bCs/>
          <w:sz w:val="20"/>
          <w:szCs w:val="20"/>
        </w:rPr>
      </w:pPr>
    </w:p>
    <w:p w:rsidR="00B52A9F" w:rsidRPr="00CC51E2" w:rsidRDefault="00B52A9F" w:rsidP="00B52A9F">
      <w:pPr>
        <w:spacing w:after="0" w:line="240" w:lineRule="auto"/>
        <w:jc w:val="center"/>
        <w:rPr>
          <w:rFonts w:ascii="Arial" w:hAnsi="Arial" w:cs="Arial"/>
          <w:bCs/>
          <w:sz w:val="20"/>
          <w:szCs w:val="20"/>
        </w:rPr>
      </w:pPr>
    </w:p>
    <w:p w:rsidR="00B52A9F" w:rsidRPr="00CC51E2" w:rsidRDefault="00B52A9F" w:rsidP="00B52A9F">
      <w:pPr>
        <w:pStyle w:val="Descripcin"/>
        <w:keepNext/>
        <w:spacing w:after="0"/>
        <w:jc w:val="center"/>
        <w:rPr>
          <w:rFonts w:ascii="Arial" w:hAnsi="Arial" w:cs="Arial"/>
          <w:bCs w:val="0"/>
          <w:color w:val="auto"/>
          <w:sz w:val="20"/>
          <w:szCs w:val="20"/>
        </w:rPr>
      </w:pPr>
      <w:bookmarkStart w:id="54" w:name="_Toc499197859"/>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2016</w:t>
      </w:r>
      <w:bookmarkEnd w:id="54"/>
    </w:p>
    <w:tbl>
      <w:tblPr>
        <w:tblpPr w:leftFromText="141" w:rightFromText="141" w:vertAnchor="text" w:horzAnchor="margin" w:tblpXSpec="center" w:tblpY="134"/>
        <w:tblW w:w="7792" w:type="dxa"/>
        <w:tblLayout w:type="fixed"/>
        <w:tblCellMar>
          <w:left w:w="70" w:type="dxa"/>
          <w:right w:w="70" w:type="dxa"/>
        </w:tblCellMar>
        <w:tblLook w:val="04A0" w:firstRow="1" w:lastRow="0" w:firstColumn="1" w:lastColumn="0" w:noHBand="0" w:noVBand="1"/>
      </w:tblPr>
      <w:tblGrid>
        <w:gridCol w:w="1271"/>
        <w:gridCol w:w="992"/>
        <w:gridCol w:w="1134"/>
        <w:gridCol w:w="1560"/>
        <w:gridCol w:w="1492"/>
        <w:gridCol w:w="1343"/>
      </w:tblGrid>
      <w:tr w:rsidR="00B52A9F" w:rsidRPr="00CC51E2" w:rsidTr="00CC51E2">
        <w:trPr>
          <w:trHeight w:val="201"/>
          <w:tblHeader/>
        </w:trPr>
        <w:tc>
          <w:tcPr>
            <w:tcW w:w="1271" w:type="dxa"/>
            <w:tcBorders>
              <w:top w:val="single" w:sz="4" w:space="0" w:color="auto"/>
              <w:left w:val="single" w:sz="4" w:space="0" w:color="auto"/>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bookmarkStart w:id="55" w:name="RANGE!B1:H9"/>
            <w:r w:rsidRPr="00CC51E2">
              <w:rPr>
                <w:rFonts w:ascii="Arial" w:eastAsia="Times New Roman" w:hAnsi="Arial" w:cs="Arial"/>
                <w:b/>
                <w:color w:val="222222"/>
                <w:sz w:val="20"/>
                <w:szCs w:val="20"/>
                <w:lang w:eastAsia="es-CO"/>
              </w:rPr>
              <w:t>FECHA</w:t>
            </w:r>
            <w:bookmarkEnd w:id="55"/>
          </w:p>
        </w:tc>
        <w:tc>
          <w:tcPr>
            <w:tcW w:w="992"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14"/>
                <w:szCs w:val="20"/>
                <w:lang w:eastAsia="es-CO"/>
              </w:rPr>
            </w:pPr>
            <w:r w:rsidRPr="00CC51E2">
              <w:rPr>
                <w:rFonts w:ascii="Arial" w:eastAsia="Times New Roman" w:hAnsi="Arial" w:cs="Arial"/>
                <w:b/>
                <w:color w:val="222222"/>
                <w:sz w:val="14"/>
                <w:szCs w:val="20"/>
                <w:lang w:eastAsia="es-CO"/>
              </w:rPr>
              <w:t>No. DE CONTRATO</w:t>
            </w:r>
          </w:p>
        </w:tc>
        <w:tc>
          <w:tcPr>
            <w:tcW w:w="1134"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20"/>
                <w:szCs w:val="20"/>
                <w:lang w:eastAsia="es-CO"/>
              </w:rPr>
              <w:t>VIGENCIA</w:t>
            </w:r>
          </w:p>
        </w:tc>
        <w:tc>
          <w:tcPr>
            <w:tcW w:w="1560"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CONTRATISTA</w:t>
            </w:r>
          </w:p>
        </w:tc>
        <w:tc>
          <w:tcPr>
            <w:tcW w:w="1492"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INTERVENTOR</w:t>
            </w:r>
          </w:p>
        </w:tc>
        <w:tc>
          <w:tcPr>
            <w:tcW w:w="1343"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ASUNTO</w:t>
            </w:r>
          </w:p>
        </w:tc>
      </w:tr>
      <w:tr w:rsidR="00B52A9F" w:rsidRPr="00CC51E2" w:rsidTr="00CC51E2">
        <w:trPr>
          <w:trHeight w:val="470"/>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24/08/2016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14"/>
                <w:szCs w:val="20"/>
                <w:lang w:eastAsia="es-CO"/>
              </w:rPr>
            </w:pPr>
            <w:r w:rsidRPr="00CC51E2">
              <w:rPr>
                <w:rFonts w:ascii="Arial" w:eastAsia="Times New Roman" w:hAnsi="Arial" w:cs="Arial"/>
                <w:color w:val="222222"/>
                <w:sz w:val="14"/>
                <w:szCs w:val="20"/>
                <w:lang w:eastAsia="es-CO"/>
              </w:rPr>
              <w:t>599</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ESCALA 2015</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INTERDESARROLLO</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56"/>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25/08/2016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584</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CIVILE LTDA.</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INTERDESARROLLO</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16/09/2016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531</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VIAS DE BOGOTA</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PROJASB</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08/09/2016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539</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UNION TEMPORAL VIVIENDA POPULAR</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PROJASB</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11/10/2016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605</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PEDRO DIGNO NAVARRO</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CIVILE LTDA.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21/11/2016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606</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PEDRO DIGNO NAVARRO</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HR INGENIERIA S.A.S.</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CC51E2">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15/12/2016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227</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2016</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TICKET PROMS</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N/A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w:t>
            </w:r>
            <w:r w:rsidRPr="00CC51E2">
              <w:rPr>
                <w:rFonts w:ascii="Arial" w:eastAsia="Times New Roman" w:hAnsi="Arial" w:cs="Arial"/>
                <w:color w:val="222222"/>
                <w:sz w:val="20"/>
                <w:szCs w:val="20"/>
                <w:lang w:eastAsia="es-CO"/>
              </w:rPr>
              <w:lastRenderedPageBreak/>
              <w:t>o sancionatorio </w:t>
            </w:r>
          </w:p>
        </w:tc>
      </w:tr>
      <w:tr w:rsidR="00B52A9F" w:rsidRPr="00CC51E2" w:rsidTr="00CC51E2">
        <w:trPr>
          <w:trHeight w:val="52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lastRenderedPageBreak/>
              <w:t>23/01/2017</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413</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2016</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MIGUEL ANGEL VALLEJO BURGOS</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N/A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bl>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spacing w:line="240" w:lineRule="auto"/>
        <w:rPr>
          <w:rFonts w:ascii="Arial" w:hAnsi="Arial" w:cs="Arial"/>
          <w:sz w:val="20"/>
          <w:szCs w:val="20"/>
          <w:lang w:val="es-ES"/>
        </w:rPr>
      </w:pPr>
    </w:p>
    <w:p w:rsidR="00B52A9F" w:rsidRPr="00CC51E2" w:rsidRDefault="00B52A9F" w:rsidP="00B52A9F">
      <w:pPr>
        <w:spacing w:line="240" w:lineRule="auto"/>
        <w:rPr>
          <w:rFonts w:ascii="Arial" w:hAnsi="Arial" w:cs="Arial"/>
          <w:sz w:val="20"/>
          <w:szCs w:val="20"/>
          <w:lang w:val="es-ES"/>
        </w:rPr>
      </w:pP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line="240" w:lineRule="auto"/>
        <w:jc w:val="center"/>
        <w:rPr>
          <w:rFonts w:ascii="Arial" w:hAnsi="Arial" w:cs="Arial"/>
          <w:sz w:val="20"/>
          <w:szCs w:val="20"/>
          <w:lang w:val="es-ES"/>
        </w:rPr>
      </w:pPr>
    </w:p>
    <w:p w:rsidR="00B52A9F" w:rsidRPr="00CC51E2" w:rsidRDefault="00B52A9F" w:rsidP="00B52A9F">
      <w:pPr>
        <w:rPr>
          <w:rFonts w:ascii="Arial" w:hAnsi="Arial" w:cs="Arial"/>
          <w:b/>
          <w:sz w:val="20"/>
          <w:szCs w:val="20"/>
          <w:lang w:val="es-ES"/>
        </w:rPr>
      </w:pPr>
      <w:r w:rsidRPr="00CC51E2">
        <w:rPr>
          <w:rFonts w:ascii="Arial" w:hAnsi="Arial" w:cs="Arial"/>
          <w:b/>
          <w:sz w:val="20"/>
          <w:szCs w:val="20"/>
          <w:lang w:val="es-ES"/>
        </w:rPr>
        <w:t>Vigencia 2017</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lo que va corrido para la presente vigencia la entidad adelantó la siguiente gestión contractual:</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 xml:space="preserve">Once (11) procesos de licitación pública.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 xml:space="preserve">Once (11) procesos de selección abreviada, de los cuales nueve (9) de ellos se llevaron a cabo a través del procedimiento de subasta inversa presencial y los dos (2) restantes a través del procedimiento de menor cuantía. </w:t>
      </w:r>
    </w:p>
    <w:p w:rsidR="00B52A9F" w:rsidRPr="00CC51E2" w:rsidRDefault="00B52A9F" w:rsidP="00B52A9F">
      <w:pPr>
        <w:pStyle w:val="Prrafodelista"/>
        <w:spacing w:line="240" w:lineRule="auto"/>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Seis (06) procesos de concurso de méritos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Veintisiete (27) procesos de selección de mínima cuantía.</w:t>
      </w:r>
    </w:p>
    <w:p w:rsidR="00B52A9F" w:rsidRPr="00CC51E2" w:rsidRDefault="00B52A9F" w:rsidP="00B52A9F">
      <w:pPr>
        <w:spacing w:after="0" w:line="240" w:lineRule="auto"/>
        <w:jc w:val="both"/>
        <w:rPr>
          <w:rFonts w:ascii="Arial" w:hAnsi="Arial" w:cs="Arial"/>
          <w:b/>
          <w:sz w:val="20"/>
          <w:szCs w:val="20"/>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57468E">
      <w:pPr>
        <w:pStyle w:val="Prrafodelista"/>
        <w:numPr>
          <w:ilvl w:val="1"/>
          <w:numId w:val="65"/>
        </w:numPr>
        <w:spacing w:after="0" w:line="240" w:lineRule="auto"/>
        <w:jc w:val="both"/>
        <w:rPr>
          <w:rFonts w:ascii="Arial" w:hAnsi="Arial" w:cs="Arial"/>
          <w:b/>
          <w:bCs/>
          <w:sz w:val="20"/>
          <w:szCs w:val="20"/>
        </w:rPr>
      </w:pPr>
      <w:r w:rsidRPr="00CC51E2">
        <w:rPr>
          <w:rFonts w:ascii="Arial" w:hAnsi="Arial" w:cs="Arial"/>
          <w:b/>
          <w:sz w:val="20"/>
          <w:szCs w:val="20"/>
        </w:rPr>
        <w:t>RESULTA</w:t>
      </w:r>
      <w:r w:rsidRPr="00CC51E2">
        <w:rPr>
          <w:rFonts w:ascii="Arial" w:hAnsi="Arial" w:cs="Arial"/>
          <w:b/>
          <w:bCs/>
          <w:sz w:val="20"/>
          <w:szCs w:val="20"/>
        </w:rPr>
        <w:t>DOS GENERALES DEL PROCESO DE ACUERDO CON LAS MODALIDADES DE SELECCIÓN.</w:t>
      </w:r>
    </w:p>
    <w:p w:rsidR="00B52A9F" w:rsidRPr="00CC51E2" w:rsidRDefault="00B52A9F" w:rsidP="00B52A9F">
      <w:pPr>
        <w:spacing w:after="0" w:line="240" w:lineRule="auto"/>
        <w:jc w:val="both"/>
        <w:rPr>
          <w:rFonts w:ascii="Arial" w:hAnsi="Arial" w:cs="Arial"/>
          <w:b/>
          <w:bCs/>
          <w:color w:val="FF0000"/>
          <w:sz w:val="20"/>
          <w:szCs w:val="20"/>
        </w:rPr>
      </w:pPr>
      <w:r w:rsidRPr="00CC51E2">
        <w:rPr>
          <w:rFonts w:ascii="Arial" w:hAnsi="Arial" w:cs="Arial"/>
          <w:b/>
          <w:bCs/>
          <w:color w:val="FF0000"/>
          <w:sz w:val="20"/>
          <w:szCs w:val="20"/>
        </w:rPr>
        <w:t xml:space="preserve">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Para lo que va corrido de la presente anualidad, se ha logrado la adjudicación del 82+.60%, de los procesos de selección adelantados por la entidad, obteniéndose una gran concurrencia de oferentes a los mismos, de esta manera se avanza hacia una gestión contractual transparente y elaborada bajo los preceptos de igualdad y reglas justas y claras para cada uno de los interesados en participar. La concurrencia a cada modalidad, ha sido numerosa, tal y como se detalla en la siguiente gráfica:</w:t>
      </w:r>
    </w:p>
    <w:p w:rsidR="00B52A9F" w:rsidRPr="00CC51E2" w:rsidRDefault="00B52A9F" w:rsidP="00B52A9F">
      <w:pPr>
        <w:pStyle w:val="Prrafodelista"/>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detalle de los mismos se observa en la siguiente tabla: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Descripcin"/>
        <w:keepNext/>
        <w:spacing w:after="0"/>
        <w:jc w:val="center"/>
        <w:rPr>
          <w:rFonts w:ascii="Arial" w:hAnsi="Arial" w:cs="Arial"/>
          <w:bCs w:val="0"/>
          <w:color w:val="auto"/>
          <w:sz w:val="20"/>
          <w:szCs w:val="20"/>
        </w:rPr>
      </w:pPr>
      <w:bookmarkStart w:id="56" w:name="_Toc499197860"/>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2017</w:t>
      </w:r>
      <w:bookmarkEnd w:id="56"/>
    </w:p>
    <w:tbl>
      <w:tblPr>
        <w:tblW w:w="6407" w:type="dxa"/>
        <w:tblInd w:w="1176" w:type="dxa"/>
        <w:tblCellMar>
          <w:left w:w="70" w:type="dxa"/>
          <w:right w:w="70" w:type="dxa"/>
        </w:tblCellMar>
        <w:tblLook w:val="04A0" w:firstRow="1" w:lastRow="0" w:firstColumn="1" w:lastColumn="0" w:noHBand="0" w:noVBand="1"/>
      </w:tblPr>
      <w:tblGrid>
        <w:gridCol w:w="3061"/>
        <w:gridCol w:w="1289"/>
        <w:gridCol w:w="2057"/>
      </w:tblGrid>
      <w:tr w:rsidR="00B52A9F" w:rsidRPr="00CC51E2" w:rsidTr="00FB40A1">
        <w:trPr>
          <w:trHeight w:val="603"/>
        </w:trPr>
        <w:tc>
          <w:tcPr>
            <w:tcW w:w="6407"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PROCESOS ADELANTADOS ENERO - OCTUBRE DE 2017</w:t>
            </w:r>
          </w:p>
        </w:tc>
      </w:tr>
      <w:tr w:rsidR="00B52A9F" w:rsidRPr="00CC51E2" w:rsidTr="00FB40A1">
        <w:trPr>
          <w:trHeight w:val="492"/>
        </w:trPr>
        <w:tc>
          <w:tcPr>
            <w:tcW w:w="3061" w:type="dxa"/>
            <w:tcBorders>
              <w:top w:val="nil"/>
              <w:left w:val="single" w:sz="8" w:space="0" w:color="auto"/>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MODALIDAD</w:t>
            </w:r>
          </w:p>
        </w:tc>
        <w:tc>
          <w:tcPr>
            <w:tcW w:w="1289" w:type="dxa"/>
            <w:tcBorders>
              <w:top w:val="nil"/>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CANTIDAD</w:t>
            </w:r>
          </w:p>
        </w:tc>
        <w:tc>
          <w:tcPr>
            <w:tcW w:w="2057" w:type="dxa"/>
            <w:tcBorders>
              <w:top w:val="nil"/>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INCIDENCIA</w:t>
            </w:r>
          </w:p>
        </w:tc>
      </w:tr>
      <w:tr w:rsidR="00B52A9F" w:rsidRPr="00CC51E2" w:rsidTr="00FB40A1">
        <w:trPr>
          <w:trHeight w:val="272"/>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LICITACIÓN PÚBLICA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20%</w:t>
            </w:r>
          </w:p>
        </w:tc>
      </w:tr>
      <w:tr w:rsidR="00B52A9F" w:rsidRPr="00CC51E2" w:rsidTr="00FB40A1">
        <w:trPr>
          <w:trHeight w:val="262"/>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CONCURSO DE MÉRITOS</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6</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10%</w:t>
            </w:r>
          </w:p>
        </w:tc>
      </w:tr>
      <w:tr w:rsidR="00B52A9F" w:rsidRPr="00CC51E2" w:rsidTr="00FB40A1">
        <w:trPr>
          <w:trHeight w:val="266"/>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SELECCIÓN ABREVIADA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20%</w:t>
            </w:r>
          </w:p>
        </w:tc>
      </w:tr>
      <w:tr w:rsidR="00B52A9F" w:rsidRPr="00CC51E2" w:rsidTr="00FB40A1">
        <w:trPr>
          <w:trHeight w:val="154"/>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MINIMA CUANTÍA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27</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49%</w:t>
            </w:r>
          </w:p>
        </w:tc>
      </w:tr>
      <w:tr w:rsidR="00B52A9F" w:rsidRPr="00CC51E2" w:rsidTr="00FB40A1">
        <w:trPr>
          <w:trHeight w:val="60"/>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TOTAL (*)</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55</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100%</w:t>
            </w:r>
          </w:p>
        </w:tc>
      </w:tr>
    </w:tbl>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El porcentaje de error de la muestra es del 0,01%, por cuestiones de aproximación</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pStyle w:val="Descripcin"/>
        <w:spacing w:after="0"/>
        <w:jc w:val="center"/>
        <w:rPr>
          <w:rFonts w:ascii="Arial" w:hAnsi="Arial" w:cs="Arial"/>
          <w:color w:val="auto"/>
          <w:sz w:val="20"/>
          <w:szCs w:val="20"/>
          <w:lang w:val="es-ES"/>
        </w:rPr>
      </w:pPr>
      <w:bookmarkStart w:id="57" w:name="_Toc499197840"/>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12</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procesos de selección adelantados</w:t>
      </w:r>
      <w:bookmarkEnd w:id="57"/>
    </w:p>
    <w:p w:rsidR="00B52A9F" w:rsidRPr="00CC51E2" w:rsidRDefault="00B52A9F" w:rsidP="00B52A9F">
      <w:pPr>
        <w:spacing w:after="0" w:line="240" w:lineRule="auto"/>
        <w:jc w:val="center"/>
        <w:rPr>
          <w:rFonts w:ascii="Arial" w:hAnsi="Arial" w:cs="Arial"/>
          <w:b/>
          <w:bCs/>
          <w:color w:val="FF0000"/>
          <w:sz w:val="20"/>
          <w:szCs w:val="20"/>
        </w:rPr>
      </w:pPr>
      <w:r w:rsidRPr="00CC51E2">
        <w:rPr>
          <w:rFonts w:ascii="Arial" w:hAnsi="Arial" w:cs="Arial"/>
          <w:noProof/>
          <w:sz w:val="20"/>
          <w:szCs w:val="20"/>
          <w:lang w:val="es-ES" w:eastAsia="es-ES"/>
        </w:rPr>
        <w:drawing>
          <wp:inline distT="0" distB="0" distL="0" distR="0" wp14:anchorId="202A5955" wp14:editId="13B1CB3D">
            <wp:extent cx="4295775" cy="2505075"/>
            <wp:effectExtent l="19050" t="0" r="9525" b="0"/>
            <wp:docPr id="527" name="Gráfico 527">
              <a:extLst xmlns:a="http://schemas.openxmlformats.org/drawingml/2006/main">
                <a:ext uri="{FF2B5EF4-FFF2-40B4-BE49-F238E27FC236}">
                  <a16:creationId xmlns:a16="http://schemas.microsoft.com/office/drawing/2014/main" id="{1CAAF2F5-3D3A-4BF8-BF16-A92E31C8A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lastRenderedPageBreak/>
        <w:t>A continuación, se presenta el valor del presupuesto asignado para la modalidad de selección, y el valor finalmente contratado, lo anterior a fin de establecer el porcentaje de ahorro, con la contratación realzada.</w:t>
      </w:r>
    </w:p>
    <w:p w:rsidR="00B52A9F" w:rsidRPr="00CC51E2" w:rsidRDefault="00B52A9F" w:rsidP="00B52A9F">
      <w:pPr>
        <w:pStyle w:val="Descripcin"/>
        <w:spacing w:after="0"/>
        <w:jc w:val="center"/>
        <w:rPr>
          <w:rFonts w:ascii="Arial" w:hAnsi="Arial" w:cs="Arial"/>
          <w:color w:val="auto"/>
          <w:sz w:val="20"/>
          <w:szCs w:val="20"/>
          <w:lang w:val="es-ES"/>
        </w:rPr>
      </w:pPr>
      <w:bookmarkStart w:id="58" w:name="_Toc499197841"/>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Comparativo valor presupuestado vs valor adjudicado</w:t>
      </w:r>
      <w:bookmarkEnd w:id="58"/>
    </w:p>
    <w:p w:rsidR="00B52A9F" w:rsidRPr="00CC51E2" w:rsidRDefault="00B52A9F" w:rsidP="00B52A9F">
      <w:pPr>
        <w:spacing w:after="0"/>
        <w:jc w:val="center"/>
        <w:rPr>
          <w:rFonts w:ascii="Arial" w:hAnsi="Arial" w:cs="Arial"/>
          <w:sz w:val="20"/>
          <w:szCs w:val="20"/>
          <w:lang w:val="es-ES"/>
        </w:rPr>
      </w:pPr>
      <w:r w:rsidRPr="00CC51E2">
        <w:rPr>
          <w:rFonts w:ascii="Arial" w:hAnsi="Arial" w:cs="Arial"/>
          <w:noProof/>
          <w:sz w:val="20"/>
          <w:szCs w:val="20"/>
          <w:lang w:val="es-ES" w:eastAsia="es-ES"/>
        </w:rPr>
        <w:drawing>
          <wp:inline distT="0" distB="0" distL="0" distR="0" wp14:anchorId="26CEAB95" wp14:editId="619928BD">
            <wp:extent cx="6362700" cy="3267075"/>
            <wp:effectExtent l="19050" t="0" r="19050" b="0"/>
            <wp:docPr id="528" name="Gráfico 528">
              <a:extLst xmlns:a="http://schemas.openxmlformats.org/drawingml/2006/main">
                <a:ext uri="{FF2B5EF4-FFF2-40B4-BE49-F238E27FC236}">
                  <a16:creationId xmlns:a16="http://schemas.microsoft.com/office/drawing/2014/main" id="{4C621592-4739-43F4-9DFD-B62C54B551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rPr>
          <w:rFonts w:ascii="Arial" w:hAnsi="Arial" w:cs="Arial"/>
          <w:sz w:val="20"/>
          <w:szCs w:val="20"/>
          <w:lang w:val="es-ES"/>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De conformidad con los datos expuestos en la gráfica anterior, la entidad presentó un ahorro de $ 1.491.791.034 pesos, el detalle se presenta en la siguiente gráfica:</w:t>
      </w:r>
    </w:p>
    <w:p w:rsidR="005259AA" w:rsidRPr="00CC51E2" w:rsidRDefault="005259AA" w:rsidP="00B52A9F">
      <w:pPr>
        <w:pStyle w:val="Descripcin"/>
        <w:spacing w:after="0"/>
        <w:jc w:val="center"/>
        <w:rPr>
          <w:rFonts w:ascii="Arial" w:hAnsi="Arial" w:cs="Arial"/>
          <w:color w:val="auto"/>
          <w:sz w:val="20"/>
          <w:szCs w:val="20"/>
        </w:rPr>
      </w:pPr>
      <w:bookmarkStart w:id="59" w:name="_Toc499197842"/>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B52A9F" w:rsidRPr="00CC51E2" w:rsidRDefault="00B52A9F" w:rsidP="00B52A9F">
      <w:pPr>
        <w:pStyle w:val="Descripcin"/>
        <w:spacing w:after="0"/>
        <w:jc w:val="center"/>
        <w:rPr>
          <w:rFonts w:ascii="Arial" w:hAnsi="Arial" w:cs="Arial"/>
          <w:color w:val="auto"/>
          <w:sz w:val="20"/>
          <w:szCs w:val="20"/>
        </w:rPr>
      </w:pPr>
      <w:r w:rsidRPr="00CC51E2">
        <w:rPr>
          <w:rFonts w:ascii="Arial" w:hAnsi="Arial" w:cs="Arial"/>
          <w:color w:val="auto"/>
          <w:sz w:val="20"/>
          <w:szCs w:val="20"/>
        </w:rPr>
        <w:lastRenderedPageBreak/>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Ahorro generado</w:t>
      </w:r>
      <w:bookmarkEnd w:id="59"/>
    </w:p>
    <w:p w:rsidR="00B52A9F" w:rsidRPr="00CC51E2" w:rsidRDefault="00B52A9F" w:rsidP="00B52A9F">
      <w:pPr>
        <w:jc w:val="center"/>
        <w:rPr>
          <w:rFonts w:ascii="Arial" w:hAnsi="Arial" w:cs="Arial"/>
          <w:sz w:val="20"/>
          <w:szCs w:val="20"/>
          <w:lang w:val="es-ES"/>
        </w:rPr>
      </w:pPr>
      <w:r w:rsidRPr="00CC51E2">
        <w:rPr>
          <w:rFonts w:ascii="Arial" w:hAnsi="Arial" w:cs="Arial"/>
          <w:noProof/>
          <w:sz w:val="20"/>
          <w:szCs w:val="20"/>
          <w:lang w:val="es-ES" w:eastAsia="es-ES"/>
        </w:rPr>
        <w:drawing>
          <wp:inline distT="0" distB="0" distL="0" distR="0" wp14:anchorId="4BBCC64B" wp14:editId="2410157F">
            <wp:extent cx="5705475" cy="3038475"/>
            <wp:effectExtent l="0" t="0" r="0" b="0"/>
            <wp:docPr id="529" name="Gráfico 529">
              <a:extLst xmlns:a="http://schemas.openxmlformats.org/drawingml/2006/main">
                <a:ext uri="{FF2B5EF4-FFF2-40B4-BE49-F238E27FC236}">
                  <a16:creationId xmlns:a16="http://schemas.microsoft.com/office/drawing/2014/main" id="{CA72B0C6-57C8-4CC1-A638-4A9A28E12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r w:rsidRPr="00CC51E2">
        <w:rPr>
          <w:rFonts w:ascii="Arial" w:hAnsi="Arial" w:cs="Arial"/>
          <w:sz w:val="20"/>
          <w:szCs w:val="20"/>
          <w:lang w:val="es-ES"/>
        </w:rPr>
        <w:t xml:space="preserve">                   Fuente de información: Proceso de adquisición de bienes y servicios</w:t>
      </w: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57468E">
      <w:pPr>
        <w:pStyle w:val="Prrafodelista"/>
        <w:numPr>
          <w:ilvl w:val="1"/>
          <w:numId w:val="65"/>
        </w:numPr>
        <w:spacing w:after="0" w:line="240" w:lineRule="auto"/>
        <w:rPr>
          <w:rFonts w:ascii="Arial" w:hAnsi="Arial" w:cs="Arial"/>
          <w:b/>
          <w:bCs/>
          <w:sz w:val="20"/>
          <w:szCs w:val="20"/>
        </w:rPr>
      </w:pPr>
      <w:r w:rsidRPr="00CC51E2">
        <w:rPr>
          <w:rFonts w:ascii="Arial" w:hAnsi="Arial" w:cs="Arial"/>
          <w:b/>
          <w:bCs/>
          <w:sz w:val="20"/>
          <w:szCs w:val="20"/>
        </w:rPr>
        <w:t>Concurrencia de proponentes</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La concurrencia a cada modalidad de selección, se describe a continuación:</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pStyle w:val="Descripcin"/>
        <w:spacing w:after="0"/>
        <w:jc w:val="center"/>
        <w:rPr>
          <w:rFonts w:ascii="Arial" w:hAnsi="Arial" w:cs="Arial"/>
          <w:color w:val="auto"/>
          <w:sz w:val="20"/>
          <w:szCs w:val="20"/>
        </w:rPr>
      </w:pPr>
      <w:bookmarkStart w:id="60" w:name="_Toc499197843"/>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concurrencia de proponentes</w:t>
      </w:r>
      <w:bookmarkEnd w:id="60"/>
    </w:p>
    <w:p w:rsidR="00B52A9F" w:rsidRPr="00CC51E2" w:rsidRDefault="00B52A9F" w:rsidP="00B52A9F">
      <w:pPr>
        <w:spacing w:after="0" w:line="240" w:lineRule="auto"/>
        <w:jc w:val="center"/>
        <w:rPr>
          <w:rFonts w:ascii="Arial" w:hAnsi="Arial" w:cs="Arial"/>
          <w:bCs/>
          <w:sz w:val="20"/>
          <w:szCs w:val="20"/>
        </w:rPr>
      </w:pPr>
      <w:r w:rsidRPr="00CC51E2">
        <w:rPr>
          <w:rFonts w:ascii="Arial" w:hAnsi="Arial" w:cs="Arial"/>
          <w:noProof/>
          <w:sz w:val="20"/>
          <w:szCs w:val="20"/>
          <w:lang w:val="es-ES" w:eastAsia="es-ES"/>
        </w:rPr>
        <w:drawing>
          <wp:inline distT="0" distB="0" distL="0" distR="0" wp14:anchorId="18157258" wp14:editId="09D05F35">
            <wp:extent cx="5076825" cy="2447925"/>
            <wp:effectExtent l="0" t="0" r="0" b="0"/>
            <wp:docPr id="530" name="Gráfico 530">
              <a:extLst xmlns:a="http://schemas.openxmlformats.org/drawingml/2006/main">
                <a:ext uri="{FF2B5EF4-FFF2-40B4-BE49-F238E27FC236}">
                  <a16:creationId xmlns:a16="http://schemas.microsoft.com/office/drawing/2014/main" id="{E20680C2-4060-4D4C-BA2A-D00A4DB5E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5259AA" w:rsidRPr="00CC51E2" w:rsidRDefault="005259AA" w:rsidP="005259AA">
      <w:pPr>
        <w:pStyle w:val="Ttulo1"/>
        <w:widowControl/>
        <w:suppressAutoHyphens w:val="0"/>
        <w:overflowPunct w:val="0"/>
        <w:autoSpaceDE w:val="0"/>
        <w:autoSpaceDN w:val="0"/>
        <w:adjustRightInd w:val="0"/>
        <w:spacing w:line="360" w:lineRule="auto"/>
        <w:textAlignment w:val="baseline"/>
        <w:rPr>
          <w:rFonts w:ascii="Arial" w:hAnsi="Arial" w:cs="Arial"/>
          <w:color w:val="000000" w:themeColor="text1"/>
          <w:sz w:val="20"/>
          <w:szCs w:val="20"/>
        </w:rPr>
      </w:pPr>
      <w:bookmarkStart w:id="61" w:name="_Toc499145431"/>
      <w:r w:rsidRPr="00CC51E2">
        <w:rPr>
          <w:rFonts w:ascii="Arial" w:hAnsi="Arial" w:cs="Arial"/>
          <w:color w:val="000000" w:themeColor="text1"/>
          <w:sz w:val="20"/>
          <w:szCs w:val="20"/>
        </w:rPr>
        <w:lastRenderedPageBreak/>
        <w:t>PETICIONES, QUEJAS, RECLAMOS Y SUGERENCIAS</w:t>
      </w:r>
      <w:bookmarkEnd w:id="61"/>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Vigencia 2016</w:t>
      </w:r>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 xml:space="preserve">Durante la vigencia 2016 se recibieron un total de 5.084 peticiones ciudadanas y todas fueron incluidas en el Sistema Distrital de Quejas y Soluciones, es decir, el cumplimiento del Decreto 371 de 2010, es del 100% </w:t>
      </w:r>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 xml:space="preserve">El principal canal de recepción, es el escrito, con una participación del 93,7 %, luego el portal web con una participación del 2,5%. </w:t>
      </w:r>
    </w:p>
    <w:p w:rsidR="00B52A9F" w:rsidRPr="00CC51E2" w:rsidRDefault="00B52A9F" w:rsidP="00B52A9F">
      <w:pPr>
        <w:jc w:val="both"/>
        <w:rPr>
          <w:rFonts w:ascii="Arial" w:hAnsi="Arial" w:cs="Arial"/>
          <w:sz w:val="20"/>
          <w:szCs w:val="20"/>
        </w:rPr>
      </w:pPr>
      <w:r w:rsidRPr="00CC51E2">
        <w:rPr>
          <w:rFonts w:ascii="Arial" w:hAnsi="Arial" w:cs="Arial"/>
          <w:sz w:val="20"/>
          <w:szCs w:val="20"/>
        </w:rPr>
        <w:t>Del total de requerimientos, el derecho de petición en interés particular es la tipología más recurrente, con una participación del 79%, continua las solicitudes de información con una participación del 8,9%, los derechos de petición de interés general con 6,7%, las solicitudes de copia 3%, las quejas 0,9%, reclamos 0,7%, la consultas el 0,4%, felicitaciones 0,3%. Las dos tipologías restantes denuncias por actos de corrupción y sugerencias representan el 0,1%. El detalle se expone a continuación:</w:t>
      </w:r>
    </w:p>
    <w:p w:rsidR="00B52A9F" w:rsidRPr="00CC51E2" w:rsidRDefault="00B52A9F" w:rsidP="00B52A9F">
      <w:pPr>
        <w:pStyle w:val="Descripcin"/>
        <w:spacing w:after="0"/>
        <w:jc w:val="center"/>
        <w:rPr>
          <w:rFonts w:ascii="Arial" w:hAnsi="Arial" w:cs="Arial"/>
          <w:color w:val="auto"/>
          <w:sz w:val="20"/>
          <w:szCs w:val="20"/>
        </w:rPr>
      </w:pPr>
      <w:bookmarkStart w:id="62" w:name="_Toc499197844"/>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No. de PQRS vigencia 2016</w:t>
      </w:r>
      <w:bookmarkEnd w:id="62"/>
      <w:r w:rsidRPr="00CC51E2">
        <w:rPr>
          <w:rFonts w:ascii="Arial" w:hAnsi="Arial" w:cs="Arial"/>
          <w:color w:val="auto"/>
          <w:sz w:val="20"/>
          <w:szCs w:val="20"/>
        </w:rPr>
        <w:t xml:space="preserve"> </w:t>
      </w:r>
    </w:p>
    <w:p w:rsidR="00B52A9F" w:rsidRPr="00CC51E2" w:rsidRDefault="00B52A9F" w:rsidP="00B52A9F">
      <w:pPr>
        <w:spacing w:after="0" w:line="240" w:lineRule="auto"/>
        <w:jc w:val="center"/>
        <w:rPr>
          <w:rFonts w:ascii="Arial" w:hAnsi="Arial" w:cs="Arial"/>
          <w:color w:val="000000" w:themeColor="text1"/>
          <w:sz w:val="20"/>
          <w:szCs w:val="20"/>
        </w:rPr>
      </w:pPr>
      <w:r w:rsidRPr="00CC51E2">
        <w:rPr>
          <w:rFonts w:ascii="Arial" w:hAnsi="Arial" w:cs="Arial"/>
          <w:b/>
          <w:noProof/>
          <w:sz w:val="20"/>
          <w:szCs w:val="20"/>
          <w:lang w:val="es-ES" w:eastAsia="es-ES"/>
        </w:rPr>
        <w:drawing>
          <wp:inline distT="0" distB="0" distL="0" distR="0" wp14:anchorId="7E5C0EE1" wp14:editId="2CB3C94C">
            <wp:extent cx="5972175" cy="3333750"/>
            <wp:effectExtent l="0" t="0" r="0" b="0"/>
            <wp:docPr id="531" name="Gráfico 531">
              <a:extLst xmlns:a="http://schemas.openxmlformats.org/drawingml/2006/main">
                <a:ext uri="{FF2B5EF4-FFF2-40B4-BE49-F238E27FC236}">
                  <a16:creationId xmlns:a16="http://schemas.microsoft.com/office/drawing/2014/main" id="{819ECCA4-38D2-47CC-934E-B5B9A902A9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Servicio al Ciudadano</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Todos las PQRS, las responde la entidad dentro de los términos establecidos por la normativa vigente.</w:t>
      </w: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Vigencia 2017</w:t>
      </w:r>
    </w:p>
    <w:p w:rsidR="00B52A9F" w:rsidRPr="00CC51E2" w:rsidRDefault="00B52A9F" w:rsidP="00DF1D84">
      <w:pPr>
        <w:jc w:val="both"/>
        <w:rPr>
          <w:rFonts w:ascii="Arial" w:hAnsi="Arial" w:cs="Arial"/>
          <w:sz w:val="20"/>
          <w:szCs w:val="20"/>
          <w:lang w:val="es-ES"/>
        </w:rPr>
      </w:pPr>
      <w:r w:rsidRPr="00CC51E2">
        <w:rPr>
          <w:rFonts w:ascii="Arial" w:hAnsi="Arial" w:cs="Arial"/>
          <w:color w:val="000000" w:themeColor="text1"/>
          <w:sz w:val="20"/>
          <w:szCs w:val="20"/>
        </w:rPr>
        <w:t xml:space="preserve">Durante la vigencia 2017 se recibieron un total de 4.457 peticiones ciudadanas y todas fueron incluidas en el Sistema Distrital de Quejas y Soluciones, acatándose lo establecido en el Decreto 371 de 2010, en un 100%. El canal escrito fue el más utilizado una participación del%, siguiéndole el portal web con una </w:t>
      </w:r>
      <w:r w:rsidRPr="00CC51E2">
        <w:rPr>
          <w:rFonts w:ascii="Arial" w:hAnsi="Arial" w:cs="Arial"/>
          <w:color w:val="000000" w:themeColor="text1"/>
          <w:sz w:val="20"/>
          <w:szCs w:val="20"/>
        </w:rPr>
        <w:lastRenderedPageBreak/>
        <w:t>participación del 3,9%. E</w:t>
      </w:r>
      <w:r w:rsidRPr="00CC51E2">
        <w:rPr>
          <w:rFonts w:ascii="Arial" w:hAnsi="Arial" w:cs="Arial"/>
          <w:sz w:val="20"/>
          <w:szCs w:val="20"/>
        </w:rPr>
        <w:t>l derecho de petición en interés particular es la tipología más utilizada con una participación del 90,5%, le sigue el derecho de petición en interés general con 2,8%, las solicitudes de copia 2,4%, las solicitudes de información con 2,0%, reclamos 0,8%, quejas 0,7%, consultas 0,6%. Las dos tipologías restantes denuncias por actos de corrupción y sugerencias representan el 0,1% cada una.</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pStyle w:val="Descripcin"/>
        <w:spacing w:after="0"/>
        <w:jc w:val="center"/>
        <w:rPr>
          <w:rFonts w:ascii="Arial" w:hAnsi="Arial" w:cs="Arial"/>
          <w:color w:val="auto"/>
          <w:sz w:val="20"/>
          <w:szCs w:val="20"/>
        </w:rPr>
      </w:pPr>
      <w:bookmarkStart w:id="63" w:name="_Toc499197845"/>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No. de PQRS vigencia 2017</w:t>
      </w:r>
      <w:bookmarkEnd w:id="63"/>
    </w:p>
    <w:p w:rsidR="00B52A9F" w:rsidRPr="00CC51E2" w:rsidRDefault="00B52A9F" w:rsidP="00B52A9F">
      <w:pPr>
        <w:spacing w:after="0" w:line="240" w:lineRule="auto"/>
        <w:jc w:val="center"/>
        <w:rPr>
          <w:rFonts w:ascii="Arial" w:hAnsi="Arial" w:cs="Arial"/>
          <w:color w:val="000000" w:themeColor="text1"/>
          <w:sz w:val="20"/>
          <w:szCs w:val="20"/>
        </w:rPr>
      </w:pPr>
      <w:r w:rsidRPr="00CC51E2">
        <w:rPr>
          <w:rFonts w:ascii="Arial" w:hAnsi="Arial" w:cs="Arial"/>
          <w:noProof/>
          <w:sz w:val="20"/>
          <w:szCs w:val="20"/>
          <w:lang w:val="es-ES" w:eastAsia="es-ES"/>
        </w:rPr>
        <w:drawing>
          <wp:inline distT="0" distB="0" distL="0" distR="0" wp14:anchorId="083E3052" wp14:editId="54D066BF">
            <wp:extent cx="5972175" cy="3457575"/>
            <wp:effectExtent l="0" t="0" r="0" b="0"/>
            <wp:docPr id="532" name="Gráfico 532">
              <a:extLst xmlns:a="http://schemas.openxmlformats.org/drawingml/2006/main">
                <a:ext uri="{FF2B5EF4-FFF2-40B4-BE49-F238E27FC236}">
                  <a16:creationId xmlns:a16="http://schemas.microsoft.com/office/drawing/2014/main" id="{9ED2C5F0-D031-41B9-A806-2DC9EC497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Servicio al Ciudadano</w:t>
      </w:r>
    </w:p>
    <w:p w:rsidR="00B52A9F" w:rsidRPr="00CC51E2" w:rsidRDefault="00B52A9F" w:rsidP="00B52A9F">
      <w:pPr>
        <w:jc w:val="both"/>
        <w:rPr>
          <w:rFonts w:ascii="Arial" w:hAnsi="Arial" w:cs="Arial"/>
          <w:sz w:val="20"/>
          <w:szCs w:val="20"/>
          <w:lang w:val="es-ES"/>
        </w:rPr>
      </w:pPr>
    </w:p>
    <w:p w:rsidR="00DF1D84" w:rsidRPr="00CC51E2" w:rsidRDefault="00DF1D84" w:rsidP="00B52A9F">
      <w:pPr>
        <w:jc w:val="both"/>
        <w:rPr>
          <w:rFonts w:ascii="Arial" w:hAnsi="Arial" w:cs="Arial"/>
          <w:sz w:val="20"/>
          <w:szCs w:val="20"/>
          <w:lang w:val="es-ES"/>
        </w:rPr>
      </w:pPr>
    </w:p>
    <w:p w:rsidR="00B52A9F" w:rsidRPr="00CC51E2" w:rsidRDefault="00DF1D84" w:rsidP="00B52A9F">
      <w:pPr>
        <w:spacing w:line="240" w:lineRule="auto"/>
        <w:jc w:val="both"/>
        <w:rPr>
          <w:rFonts w:ascii="Arial" w:hAnsi="Arial" w:cs="Arial"/>
          <w:sz w:val="20"/>
          <w:szCs w:val="20"/>
        </w:rPr>
      </w:pPr>
      <w:r w:rsidRPr="00CC51E2">
        <w:rPr>
          <w:rFonts w:ascii="Arial" w:hAnsi="Arial" w:cs="Arial"/>
          <w:b/>
          <w:color w:val="000000" w:themeColor="text1"/>
          <w:sz w:val="20"/>
          <w:szCs w:val="20"/>
        </w:rPr>
        <w:t>PLAN DE MEJORAMIENTO INSTITUCIONAL</w:t>
      </w:r>
    </w:p>
    <w:p w:rsidR="00B52A9F" w:rsidRPr="00CC51E2" w:rsidRDefault="00B52A9F" w:rsidP="00B52A9F">
      <w:pPr>
        <w:spacing w:line="240" w:lineRule="auto"/>
        <w:jc w:val="both"/>
        <w:rPr>
          <w:rFonts w:ascii="Arial" w:hAnsi="Arial" w:cs="Arial"/>
          <w:sz w:val="20"/>
          <w:szCs w:val="20"/>
        </w:rPr>
      </w:pPr>
      <w:r w:rsidRPr="00CC51E2">
        <w:rPr>
          <w:rFonts w:ascii="Arial" w:hAnsi="Arial" w:cs="Arial"/>
          <w:sz w:val="20"/>
          <w:szCs w:val="20"/>
        </w:rPr>
        <w:t>Durante la vigencia 2016 y 2017, se adelantaron las gestiones necesarias para garantizar el cierre de las acciones de mejora establecidas en los diferentes planes de mejoramiento suscritos con la Contraloría de Bogotá, incluyendo el cierre de 35 acciones que se quedaron sin cumplir en la vigencia 2015. Las actividades realizadas consistieron en mesas de seguimiento permanentes con las Direcciones misionales, para verificar el cumplimiento de las acciones de mejora propuestas y la incorporación de las respectivas evidencias de su cumplimiento, creándose una carpeta compartida en el sistema para tal fin. La creación de la carpeta compartida para el seguimiento al plan de mejoramiento, permitió monitorear la incorporación de dichas evidencias.</w:t>
      </w:r>
    </w:p>
    <w:p w:rsidR="00B52A9F" w:rsidRPr="00CC51E2" w:rsidRDefault="00B52A9F" w:rsidP="00B52A9F">
      <w:pPr>
        <w:tabs>
          <w:tab w:val="left" w:pos="2268"/>
        </w:tabs>
        <w:spacing w:line="240" w:lineRule="auto"/>
        <w:jc w:val="both"/>
        <w:rPr>
          <w:rFonts w:ascii="Arial" w:hAnsi="Arial" w:cs="Arial"/>
          <w:sz w:val="20"/>
          <w:szCs w:val="20"/>
        </w:rPr>
      </w:pPr>
      <w:r w:rsidRPr="00CC51E2">
        <w:rPr>
          <w:rFonts w:ascii="Arial" w:hAnsi="Arial" w:cs="Arial"/>
          <w:sz w:val="20"/>
          <w:szCs w:val="20"/>
        </w:rPr>
        <w:t xml:space="preserve">El producto del trabajo realizado se refleja en la siguiente tabla, en donde se puede observar, en la auditoria de regularidad llevada a cabo en la vigencia 2016, en donde se evaluó la gestión de 2015, se cerraron un porcentaje alto de las acciones de mejora formuladas (170), se aclara que la muestra de auditoria que el equipo auditor determino para el plan de mejoramiento fue de 193 acciones. </w:t>
      </w:r>
    </w:p>
    <w:p w:rsidR="00B52A9F" w:rsidRPr="00CC51E2" w:rsidRDefault="00B52A9F" w:rsidP="00B52A9F">
      <w:pPr>
        <w:pStyle w:val="Descripcin"/>
        <w:keepNext/>
        <w:spacing w:after="0"/>
        <w:jc w:val="center"/>
        <w:rPr>
          <w:rFonts w:ascii="Arial" w:hAnsi="Arial" w:cs="Arial"/>
          <w:bCs w:val="0"/>
          <w:color w:val="auto"/>
          <w:sz w:val="20"/>
          <w:szCs w:val="20"/>
        </w:rPr>
      </w:pPr>
      <w:bookmarkStart w:id="64" w:name="_Toc499197861"/>
      <w:r w:rsidRPr="00CC51E2">
        <w:rPr>
          <w:rFonts w:ascii="Arial" w:hAnsi="Arial" w:cs="Arial"/>
          <w:color w:val="auto"/>
          <w:sz w:val="20"/>
          <w:szCs w:val="20"/>
        </w:rPr>
        <w:lastRenderedPageBreak/>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 xml:space="preserve"> Plan de mejoramiento y acciones de mejora por vigencias</w:t>
      </w:r>
      <w:bookmarkEnd w:id="64"/>
    </w:p>
    <w:tbl>
      <w:tblPr>
        <w:tblW w:w="9493" w:type="dxa"/>
        <w:tblInd w:w="75" w:type="dxa"/>
        <w:tblCellMar>
          <w:left w:w="70" w:type="dxa"/>
          <w:right w:w="70" w:type="dxa"/>
        </w:tblCellMar>
        <w:tblLook w:val="04A0" w:firstRow="1" w:lastRow="0" w:firstColumn="1" w:lastColumn="0" w:noHBand="0" w:noVBand="1"/>
      </w:tblPr>
      <w:tblGrid>
        <w:gridCol w:w="1385"/>
        <w:gridCol w:w="1441"/>
        <w:gridCol w:w="3140"/>
        <w:gridCol w:w="1780"/>
        <w:gridCol w:w="1774"/>
      </w:tblGrid>
      <w:tr w:rsidR="00B52A9F" w:rsidRPr="00CC51E2" w:rsidTr="00FB40A1">
        <w:trPr>
          <w:trHeight w:val="1680"/>
        </w:trPr>
        <w:tc>
          <w:tcPr>
            <w:tcW w:w="1260" w:type="dxa"/>
            <w:tcBorders>
              <w:top w:val="single" w:sz="4" w:space="0" w:color="auto"/>
              <w:left w:val="single" w:sz="4" w:space="0" w:color="auto"/>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HALLAZGOS POR VIGENCIA</w:t>
            </w:r>
          </w:p>
        </w:tc>
        <w:tc>
          <w:tcPr>
            <w:tcW w:w="1702"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COMPRENDE HALLAZGOS DE AUDITORIAS PARA VIGENCIAS</w:t>
            </w:r>
          </w:p>
        </w:tc>
        <w:tc>
          <w:tcPr>
            <w:tcW w:w="314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ACCIONES VIGENTES</w:t>
            </w:r>
          </w:p>
        </w:tc>
        <w:tc>
          <w:tcPr>
            <w:tcW w:w="178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ACCIONES CERRADAS POR LA CONTRALORÌA DE BOGOTÀ, DE ACUERDO A LA MUESTRA DE AUDITORIA</w:t>
            </w:r>
          </w:p>
        </w:tc>
        <w:tc>
          <w:tcPr>
            <w:tcW w:w="1611" w:type="dxa"/>
            <w:tcBorders>
              <w:top w:val="single" w:sz="4" w:space="0" w:color="auto"/>
              <w:left w:val="nil"/>
              <w:bottom w:val="single" w:sz="4" w:space="0" w:color="auto"/>
              <w:right w:val="single" w:sz="4" w:space="0" w:color="auto"/>
            </w:tcBorders>
            <w:shd w:val="clear" w:color="000000" w:fill="5B9BD5"/>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 DE CUMPLIMIENTO DEL PLAN DE MEJORMAIENTO DE ACUERDO AL INFORME FINAL DE AUDITORIA DE REGULARIDAD</w:t>
            </w:r>
          </w:p>
        </w:tc>
      </w:tr>
      <w:tr w:rsidR="00B52A9F" w:rsidRPr="00CC51E2" w:rsidTr="00FB40A1">
        <w:trPr>
          <w:trHeight w:val="510"/>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2014</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2009-2010-2011-2012-2013</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107 hallazgos con 235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38</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84%</w:t>
            </w:r>
          </w:p>
        </w:tc>
      </w:tr>
      <w:tr w:rsidR="00B52A9F" w:rsidRPr="00CC51E2" w:rsidTr="00FB40A1">
        <w:trPr>
          <w:trHeight w:val="555"/>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2015</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2009-2010-2011-2012-2013-2014</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120 hallazgos con 239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170</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88%</w:t>
            </w:r>
          </w:p>
        </w:tc>
      </w:tr>
      <w:tr w:rsidR="00B52A9F" w:rsidRPr="00CC51E2" w:rsidTr="00FB40A1">
        <w:trPr>
          <w:trHeight w:val="555"/>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2014 - 2015 </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93 hallazgos 150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Por establecer</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Por establecer</w:t>
            </w:r>
          </w:p>
        </w:tc>
      </w:tr>
    </w:tbl>
    <w:p w:rsidR="00B52A9F" w:rsidRPr="00CC51E2" w:rsidRDefault="00B52A9F" w:rsidP="00B52A9F">
      <w:pPr>
        <w:spacing w:line="240" w:lineRule="auto"/>
        <w:jc w:val="center"/>
        <w:rPr>
          <w:rFonts w:ascii="Arial" w:hAnsi="Arial" w:cs="Arial"/>
          <w:sz w:val="20"/>
          <w:szCs w:val="20"/>
        </w:rPr>
      </w:pPr>
      <w:r w:rsidRPr="00CC51E2">
        <w:rPr>
          <w:rFonts w:ascii="Arial" w:hAnsi="Arial" w:cs="Arial"/>
          <w:sz w:val="20"/>
          <w:szCs w:val="20"/>
        </w:rPr>
        <w:t>Fuente de información Dirección de Gestión Corporativa y Oficina de Control Interno</w:t>
      </w:r>
    </w:p>
    <w:p w:rsidR="00B52A9F" w:rsidRPr="00CC51E2" w:rsidRDefault="00B52A9F" w:rsidP="00B52A9F">
      <w:pPr>
        <w:jc w:val="center"/>
        <w:rPr>
          <w:rFonts w:ascii="Arial" w:hAnsi="Arial" w:cs="Arial"/>
          <w:sz w:val="20"/>
          <w:szCs w:val="20"/>
          <w:lang w:val="es-ES"/>
        </w:rPr>
      </w:pPr>
    </w:p>
    <w:p w:rsidR="00B52A9F" w:rsidRPr="00CC51E2" w:rsidRDefault="00B52A9F" w:rsidP="00B52A9F">
      <w:pPr>
        <w:spacing w:after="0"/>
        <w:jc w:val="both"/>
        <w:rPr>
          <w:rFonts w:ascii="Arial" w:hAnsi="Arial" w:cs="Arial"/>
          <w:sz w:val="20"/>
          <w:szCs w:val="20"/>
          <w:lang w:val="es-ES"/>
        </w:rPr>
      </w:pPr>
    </w:p>
    <w:p w:rsidR="0057468E" w:rsidRPr="00CC51E2" w:rsidRDefault="0057468E" w:rsidP="00B52A9F">
      <w:pPr>
        <w:spacing w:after="0"/>
        <w:jc w:val="both"/>
        <w:rPr>
          <w:rFonts w:ascii="Arial" w:hAnsi="Arial" w:cs="Arial"/>
          <w:sz w:val="20"/>
          <w:szCs w:val="20"/>
          <w:lang w:val="es-ES"/>
        </w:rPr>
      </w:pPr>
    </w:p>
    <w:p w:rsidR="00CC51E2" w:rsidRDefault="00CC51E2">
      <w:pPr>
        <w:spacing w:after="0" w:line="240" w:lineRule="auto"/>
        <w:rPr>
          <w:rFonts w:ascii="Arial" w:hAnsi="Arial" w:cs="Arial"/>
          <w:sz w:val="20"/>
          <w:szCs w:val="20"/>
          <w:lang w:val="es-ES"/>
        </w:rPr>
      </w:pPr>
      <w:r>
        <w:rPr>
          <w:rFonts w:ascii="Arial" w:hAnsi="Arial" w:cs="Arial"/>
          <w:sz w:val="20"/>
          <w:szCs w:val="20"/>
          <w:lang w:val="es-ES"/>
        </w:rPr>
        <w:br w:type="page"/>
      </w:r>
    </w:p>
    <w:p w:rsidR="0057468E" w:rsidRPr="00CC51E2" w:rsidRDefault="0057468E" w:rsidP="00B52A9F">
      <w:pPr>
        <w:spacing w:after="0"/>
        <w:jc w:val="both"/>
        <w:rPr>
          <w:rFonts w:ascii="Arial" w:hAnsi="Arial" w:cs="Arial"/>
          <w:sz w:val="20"/>
          <w:szCs w:val="20"/>
          <w:lang w:val="es-ES"/>
        </w:rPr>
      </w:pPr>
    </w:p>
    <w:p w:rsidR="0057468E" w:rsidRPr="00CC51E2" w:rsidRDefault="0057468E" w:rsidP="00B52A9F">
      <w:pPr>
        <w:spacing w:after="0"/>
        <w:jc w:val="both"/>
        <w:rPr>
          <w:rFonts w:ascii="Arial" w:hAnsi="Arial" w:cs="Arial"/>
          <w:sz w:val="20"/>
          <w:szCs w:val="20"/>
          <w:lang w:val="es-ES"/>
        </w:rPr>
      </w:pP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57468E" w:rsidRPr="00CC51E2" w:rsidRDefault="0057468E" w:rsidP="0057468E">
      <w:pPr>
        <w:spacing w:after="0" w:line="360" w:lineRule="auto"/>
        <w:jc w:val="center"/>
        <w:rPr>
          <w:rFonts w:ascii="Arial" w:hAnsi="Arial" w:cs="Arial"/>
          <w:b/>
          <w:sz w:val="20"/>
          <w:szCs w:val="20"/>
          <w:lang w:val="es-ES"/>
        </w:rPr>
      </w:pPr>
      <w:r w:rsidRPr="00CC51E2">
        <w:rPr>
          <w:rFonts w:ascii="Arial" w:hAnsi="Arial" w:cs="Arial"/>
          <w:b/>
          <w:sz w:val="20"/>
          <w:szCs w:val="20"/>
          <w:lang w:val="es-ES"/>
        </w:rPr>
        <w:t>SUBDIRECCIÓN ADMINISTRATIVA</w:t>
      </w:r>
    </w:p>
    <w:p w:rsidR="0057468E" w:rsidRPr="00CC51E2" w:rsidRDefault="0057468E" w:rsidP="0057468E">
      <w:pPr>
        <w:spacing w:after="0"/>
        <w:jc w:val="center"/>
        <w:rPr>
          <w:rFonts w:ascii="Arial" w:hAnsi="Arial" w:cs="Arial"/>
          <w:b/>
          <w:sz w:val="20"/>
          <w:szCs w:val="20"/>
        </w:rPr>
      </w:pPr>
    </w:p>
    <w:p w:rsidR="0057468E" w:rsidRPr="00CC51E2" w:rsidRDefault="0057468E" w:rsidP="0057468E">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57468E" w:rsidRPr="00CC51E2" w:rsidRDefault="0057468E" w:rsidP="0057468E">
      <w:pPr>
        <w:spacing w:after="0"/>
        <w:jc w:val="both"/>
        <w:rPr>
          <w:rFonts w:ascii="Arial" w:hAnsi="Arial" w:cs="Arial"/>
          <w:sz w:val="20"/>
          <w:szCs w:val="20"/>
        </w:rPr>
      </w:pPr>
    </w:p>
    <w:p w:rsidR="00BA1C3F" w:rsidRPr="00CC51E2" w:rsidRDefault="006800E8" w:rsidP="00AE0C9B">
      <w:pPr>
        <w:spacing w:after="0" w:line="240" w:lineRule="auto"/>
        <w:rPr>
          <w:rFonts w:ascii="Arial" w:hAnsi="Arial" w:cs="Arial"/>
          <w:b/>
          <w:sz w:val="20"/>
          <w:szCs w:val="20"/>
          <w:lang w:val="es-ES"/>
        </w:rPr>
      </w:pPr>
      <w:r w:rsidRPr="00CC51E2">
        <w:rPr>
          <w:rFonts w:ascii="Arial" w:hAnsi="Arial" w:cs="Arial"/>
          <w:b/>
          <w:sz w:val="20"/>
          <w:szCs w:val="20"/>
          <w:lang w:val="es-ES"/>
        </w:rPr>
        <w:t xml:space="preserve">INFORME </w:t>
      </w:r>
      <w:r w:rsidR="00450674" w:rsidRPr="00CC51E2">
        <w:rPr>
          <w:rFonts w:ascii="Arial" w:hAnsi="Arial" w:cs="Arial"/>
          <w:b/>
          <w:sz w:val="20"/>
          <w:szCs w:val="20"/>
          <w:lang w:val="es-ES"/>
        </w:rPr>
        <w:t xml:space="preserve">DE GESTIÓN </w:t>
      </w:r>
    </w:p>
    <w:p w:rsidR="00AE0C9B" w:rsidRPr="00CC51E2" w:rsidRDefault="00AE0C9B"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jc w:val="center"/>
        <w:rPr>
          <w:rFonts w:ascii="Arial" w:hAnsi="Arial" w:cs="Arial"/>
          <w:b/>
          <w:sz w:val="20"/>
          <w:szCs w:val="20"/>
        </w:rPr>
      </w:pPr>
      <w:r w:rsidRPr="00CC51E2">
        <w:rPr>
          <w:rFonts w:ascii="Arial" w:hAnsi="Arial" w:cs="Arial"/>
          <w:b/>
          <w:sz w:val="20"/>
          <w:szCs w:val="20"/>
        </w:rPr>
        <w:t>Lista de Tablas y Gráficos</w:t>
      </w:r>
    </w:p>
    <w:p w:rsidR="003F5B0A" w:rsidRPr="00CC51E2" w:rsidRDefault="003F5B0A"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1:</w:t>
      </w:r>
      <w:r w:rsidRPr="00CC51E2">
        <w:rPr>
          <w:rFonts w:ascii="Arial" w:hAnsi="Arial" w:cs="Arial"/>
          <w:sz w:val="20"/>
          <w:szCs w:val="20"/>
        </w:rPr>
        <w:tab/>
        <w:t xml:space="preserve">Proceso de Gestión del Talento Humano Avance Plan de Acción de Gestión Por Actividad. </w:t>
      </w:r>
      <w:r w:rsidRPr="00CC51E2">
        <w:rPr>
          <w:rFonts w:ascii="Arial" w:hAnsi="Arial" w:cs="Arial"/>
          <w:b/>
          <w:sz w:val="20"/>
          <w:szCs w:val="20"/>
        </w:rPr>
        <w:t>Página 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 xml:space="preserve">Gráfico No. 2: </w:t>
      </w:r>
      <w:r w:rsidRPr="00CC51E2">
        <w:rPr>
          <w:rFonts w:ascii="Arial" w:hAnsi="Arial" w:cs="Arial"/>
          <w:b/>
          <w:sz w:val="20"/>
          <w:szCs w:val="20"/>
        </w:rPr>
        <w:tab/>
      </w:r>
      <w:r w:rsidRPr="00CC51E2">
        <w:rPr>
          <w:rFonts w:ascii="Arial" w:hAnsi="Arial" w:cs="Arial"/>
          <w:sz w:val="20"/>
          <w:szCs w:val="20"/>
        </w:rPr>
        <w:t>Proceso de Gestión del Talento Humano avance Plan de Acción de Gestión Ponderado.</w:t>
      </w:r>
      <w:r w:rsidRPr="00CC51E2">
        <w:rPr>
          <w:rFonts w:ascii="Arial" w:hAnsi="Arial" w:cs="Arial"/>
          <w:b/>
          <w:sz w:val="20"/>
          <w:szCs w:val="20"/>
        </w:rPr>
        <w:t xml:space="preserve"> Página 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3</w:t>
      </w:r>
      <w:r w:rsidRPr="00CC51E2">
        <w:rPr>
          <w:rFonts w:ascii="Arial" w:hAnsi="Arial" w:cs="Arial"/>
          <w:sz w:val="20"/>
          <w:szCs w:val="20"/>
        </w:rPr>
        <w:t xml:space="preserve">: </w:t>
      </w:r>
      <w:r w:rsidRPr="00CC51E2">
        <w:rPr>
          <w:rFonts w:ascii="Arial" w:hAnsi="Arial" w:cs="Arial"/>
          <w:sz w:val="20"/>
          <w:szCs w:val="20"/>
        </w:rPr>
        <w:tab/>
        <w:t xml:space="preserve">Proceso de Administración y Control de Recursos Gestión Administrativa Avance Plan de Acción por Actividad. </w:t>
      </w:r>
      <w:r w:rsidRPr="00CC51E2">
        <w:rPr>
          <w:rFonts w:ascii="Arial" w:hAnsi="Arial" w:cs="Arial"/>
          <w:b/>
          <w:sz w:val="20"/>
          <w:szCs w:val="20"/>
        </w:rPr>
        <w:t>Página 10.</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4:</w:t>
      </w:r>
      <w:r w:rsidRPr="00CC51E2">
        <w:rPr>
          <w:rFonts w:ascii="Arial" w:hAnsi="Arial" w:cs="Arial"/>
          <w:b/>
          <w:sz w:val="20"/>
          <w:szCs w:val="20"/>
        </w:rPr>
        <w:tab/>
      </w:r>
      <w:r w:rsidRPr="00CC51E2">
        <w:rPr>
          <w:rFonts w:ascii="Arial" w:hAnsi="Arial" w:cs="Arial"/>
          <w:sz w:val="20"/>
          <w:szCs w:val="20"/>
        </w:rPr>
        <w:t xml:space="preserve">Proceso de Administración y Control de Recursos Gestión Administrativa Avance Plan de Acción Ponderado. </w:t>
      </w:r>
      <w:r w:rsidRPr="00CC51E2">
        <w:rPr>
          <w:rFonts w:ascii="Arial" w:hAnsi="Arial" w:cs="Arial"/>
          <w:b/>
          <w:sz w:val="20"/>
          <w:szCs w:val="20"/>
        </w:rPr>
        <w:t>Página 11.</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Tabla No. 1:</w:t>
      </w:r>
      <w:r w:rsidRPr="00CC51E2">
        <w:rPr>
          <w:rFonts w:ascii="Arial" w:hAnsi="Arial" w:cs="Arial"/>
          <w:b/>
          <w:sz w:val="20"/>
          <w:szCs w:val="20"/>
        </w:rPr>
        <w:tab/>
      </w:r>
      <w:r w:rsidRPr="00CC51E2">
        <w:rPr>
          <w:rFonts w:ascii="Arial" w:hAnsi="Arial" w:cs="Arial"/>
          <w:sz w:val="20"/>
          <w:szCs w:val="20"/>
        </w:rPr>
        <w:t xml:space="preserve">GESTIÓN DEL PLAN ANUAL DE ADQUISICIONES SUBDIRECCIÓN ADMINISTRATIVA A 31 DE OCTUBRE DE 2017 Proyecto 404 – inversión. </w:t>
      </w:r>
      <w:r w:rsidRPr="00CC51E2">
        <w:rPr>
          <w:rFonts w:ascii="Arial" w:hAnsi="Arial" w:cs="Arial"/>
          <w:b/>
          <w:sz w:val="20"/>
          <w:szCs w:val="20"/>
        </w:rPr>
        <w:t>Página 16.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Tabla No. 2:</w:t>
      </w:r>
      <w:r w:rsidRPr="00CC51E2">
        <w:rPr>
          <w:rFonts w:ascii="Arial" w:hAnsi="Arial" w:cs="Arial"/>
          <w:b/>
          <w:sz w:val="20"/>
          <w:szCs w:val="20"/>
        </w:rPr>
        <w:tab/>
      </w:r>
      <w:r w:rsidRPr="00CC51E2">
        <w:rPr>
          <w:rFonts w:ascii="Arial" w:hAnsi="Arial" w:cs="Arial"/>
          <w:sz w:val="20"/>
          <w:szCs w:val="20"/>
        </w:rPr>
        <w:t xml:space="preserve">GESTIÓN DEL PLAN ANUAL DE ADQUISICIONES SUBDIRECCIÓN ADMINISTRATIVA A 30 DE JUNIO DE 2017 Funcionamiento. </w:t>
      </w:r>
      <w:r w:rsidRPr="00CC51E2">
        <w:rPr>
          <w:rFonts w:ascii="Arial" w:hAnsi="Arial" w:cs="Arial"/>
          <w:b/>
          <w:sz w:val="20"/>
          <w:szCs w:val="20"/>
        </w:rPr>
        <w:t>Página 17.</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5:</w:t>
      </w:r>
      <w:r w:rsidRPr="00CC51E2">
        <w:rPr>
          <w:rFonts w:ascii="Arial" w:hAnsi="Arial" w:cs="Arial"/>
          <w:b/>
          <w:sz w:val="20"/>
          <w:szCs w:val="20"/>
        </w:rPr>
        <w:tab/>
      </w:r>
      <w:r w:rsidRPr="00CC51E2">
        <w:rPr>
          <w:rFonts w:ascii="Arial" w:hAnsi="Arial" w:cs="Arial"/>
          <w:bCs/>
          <w:sz w:val="20"/>
          <w:szCs w:val="20"/>
          <w:lang w:val="es-ES"/>
        </w:rPr>
        <w:t xml:space="preserve">Gestión del Plan Anual de Adquisiciones Subdirección Administrativa Inversión Proyecto 404. </w:t>
      </w:r>
      <w:r w:rsidRPr="00CC51E2">
        <w:rPr>
          <w:rFonts w:ascii="Arial" w:hAnsi="Arial" w:cs="Arial"/>
          <w:b/>
          <w:sz w:val="20"/>
          <w:szCs w:val="20"/>
        </w:rPr>
        <w:t>Página 18.</w:t>
      </w:r>
    </w:p>
    <w:p w:rsidR="003F5B0A" w:rsidRPr="00CC51E2" w:rsidRDefault="003F5B0A" w:rsidP="003F5B0A">
      <w:pPr>
        <w:spacing w:after="0" w:line="240" w:lineRule="auto"/>
        <w:ind w:left="2124"/>
        <w:jc w:val="both"/>
        <w:rPr>
          <w:rFonts w:ascii="Arial" w:hAnsi="Arial" w:cs="Arial"/>
          <w:bCs/>
          <w:sz w:val="20"/>
          <w:szCs w:val="20"/>
          <w:lang w:val="es-ES"/>
        </w:rPr>
      </w:pPr>
    </w:p>
    <w:p w:rsidR="003F5B0A" w:rsidRPr="00CC51E2" w:rsidRDefault="003F5B0A" w:rsidP="003F5B0A">
      <w:pPr>
        <w:spacing w:after="0" w:line="240" w:lineRule="auto"/>
        <w:ind w:left="2124"/>
        <w:jc w:val="both"/>
        <w:rPr>
          <w:rFonts w:ascii="Arial" w:hAnsi="Arial" w:cs="Arial"/>
          <w:bCs/>
          <w:sz w:val="20"/>
          <w:szCs w:val="20"/>
          <w:lang w:val="es-ES"/>
        </w:rPr>
      </w:pPr>
    </w:p>
    <w:p w:rsidR="003F5B0A" w:rsidRPr="00CC51E2" w:rsidRDefault="003F5B0A" w:rsidP="003F5B0A">
      <w:pPr>
        <w:spacing w:after="0" w:line="240" w:lineRule="auto"/>
        <w:ind w:left="2124" w:hanging="2124"/>
        <w:jc w:val="both"/>
        <w:rPr>
          <w:rFonts w:ascii="Arial" w:hAnsi="Arial" w:cs="Arial"/>
          <w:sz w:val="20"/>
          <w:szCs w:val="20"/>
        </w:rPr>
      </w:pPr>
      <w:r w:rsidRPr="00CC51E2">
        <w:rPr>
          <w:rFonts w:ascii="Arial" w:hAnsi="Arial" w:cs="Arial"/>
          <w:b/>
          <w:sz w:val="20"/>
          <w:szCs w:val="20"/>
        </w:rPr>
        <w:t>Gráfico No. 6:</w:t>
      </w:r>
      <w:r w:rsidRPr="00CC51E2">
        <w:rPr>
          <w:rFonts w:ascii="Arial" w:hAnsi="Arial" w:cs="Arial"/>
          <w:b/>
          <w:sz w:val="20"/>
          <w:szCs w:val="20"/>
        </w:rPr>
        <w:tab/>
      </w:r>
      <w:r w:rsidRPr="00CC51E2">
        <w:rPr>
          <w:rFonts w:ascii="Arial" w:hAnsi="Arial" w:cs="Arial"/>
          <w:bCs/>
          <w:sz w:val="20"/>
          <w:szCs w:val="20"/>
          <w:lang w:val="es-ES"/>
        </w:rPr>
        <w:t xml:space="preserve">Gestión del Plan Anual de Adquisiciones Subdirección Administrativa Funcionamiento. </w:t>
      </w:r>
      <w:r w:rsidRPr="00CC51E2">
        <w:rPr>
          <w:rFonts w:ascii="Arial" w:hAnsi="Arial" w:cs="Arial"/>
          <w:b/>
          <w:sz w:val="20"/>
          <w:szCs w:val="20"/>
        </w:rPr>
        <w:t>Página 18.</w:t>
      </w:r>
    </w:p>
    <w:p w:rsidR="003F5B0A" w:rsidRPr="00CC51E2" w:rsidRDefault="003F5B0A" w:rsidP="003F5B0A">
      <w:pPr>
        <w:spacing w:after="0" w:line="240" w:lineRule="auto"/>
        <w:ind w:left="2124"/>
        <w:jc w:val="both"/>
        <w:rPr>
          <w:rFonts w:ascii="Arial" w:hAnsi="Arial" w:cs="Arial"/>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sz w:val="20"/>
          <w:szCs w:val="20"/>
        </w:rPr>
      </w:pPr>
      <w:r w:rsidRPr="00CC51E2">
        <w:rPr>
          <w:rFonts w:ascii="Arial" w:hAnsi="Arial" w:cs="Arial"/>
          <w:b/>
          <w:sz w:val="20"/>
          <w:szCs w:val="20"/>
        </w:rPr>
        <w:t>Tabla No. 3</w:t>
      </w:r>
      <w:r w:rsidRPr="00CC51E2">
        <w:rPr>
          <w:rFonts w:ascii="Arial" w:hAnsi="Arial" w:cs="Arial"/>
          <w:sz w:val="20"/>
          <w:szCs w:val="20"/>
        </w:rPr>
        <w:t>:</w:t>
      </w:r>
      <w:r w:rsidRPr="00CC51E2">
        <w:rPr>
          <w:rFonts w:ascii="Arial" w:hAnsi="Arial" w:cs="Arial"/>
          <w:sz w:val="20"/>
          <w:szCs w:val="20"/>
        </w:rPr>
        <w:tab/>
        <w:t xml:space="preserve">CONTRATOS VIGENTES A CARGO DE LA SUBDIRECCIÓN ADMINISTRATIVA. </w:t>
      </w:r>
      <w:r w:rsidRPr="00CC51E2">
        <w:rPr>
          <w:rFonts w:ascii="Arial" w:hAnsi="Arial" w:cs="Arial"/>
          <w:b/>
          <w:sz w:val="20"/>
          <w:szCs w:val="20"/>
        </w:rPr>
        <w:t>Página 20.</w:t>
      </w:r>
    </w:p>
    <w:p w:rsidR="00DB0231" w:rsidRPr="00CC51E2" w:rsidRDefault="00EC52A8" w:rsidP="00DF1D84">
      <w:pPr>
        <w:spacing w:after="0" w:line="240" w:lineRule="auto"/>
        <w:rPr>
          <w:rFonts w:ascii="Arial" w:hAnsi="Arial" w:cs="Arial"/>
          <w:b/>
          <w:color w:val="1F497D" w:themeColor="text2"/>
          <w:sz w:val="20"/>
          <w:szCs w:val="20"/>
        </w:rPr>
      </w:pPr>
      <w:r w:rsidRPr="00CC51E2">
        <w:rPr>
          <w:rFonts w:ascii="Arial" w:hAnsi="Arial" w:cs="Arial"/>
          <w:b/>
          <w:sz w:val="20"/>
          <w:szCs w:val="20"/>
        </w:rPr>
        <w:br w:type="page"/>
      </w:r>
      <w:r w:rsidR="00DB0231" w:rsidRPr="00CC51E2">
        <w:rPr>
          <w:rFonts w:ascii="Arial" w:hAnsi="Arial" w:cs="Arial"/>
          <w:b/>
          <w:color w:val="1F497D" w:themeColor="text2"/>
          <w:sz w:val="20"/>
          <w:szCs w:val="20"/>
        </w:rPr>
        <w:lastRenderedPageBreak/>
        <w:t>RESUMEN EJECUTIVO</w:t>
      </w:r>
    </w:p>
    <w:p w:rsidR="008B4E23" w:rsidRPr="00CC51E2" w:rsidRDefault="008B4E23">
      <w:pPr>
        <w:spacing w:after="0" w:line="240" w:lineRule="auto"/>
        <w:rPr>
          <w:rFonts w:ascii="Arial" w:hAnsi="Arial" w:cs="Arial"/>
          <w:b/>
          <w:color w:val="1F497D" w:themeColor="text2"/>
          <w:sz w:val="20"/>
          <w:szCs w:val="20"/>
        </w:rPr>
      </w:pPr>
    </w:p>
    <w:p w:rsidR="0000754E" w:rsidRPr="00CC51E2" w:rsidRDefault="0000754E">
      <w:pPr>
        <w:spacing w:after="0" w:line="240" w:lineRule="auto"/>
        <w:rPr>
          <w:rFonts w:ascii="Arial" w:hAnsi="Arial" w:cs="Arial"/>
          <w:b/>
          <w:color w:val="1F497D" w:themeColor="text2"/>
          <w:sz w:val="20"/>
          <w:szCs w:val="20"/>
        </w:rPr>
      </w:pPr>
    </w:p>
    <w:p w:rsidR="00993884" w:rsidRPr="00CC51E2" w:rsidRDefault="008B4E23" w:rsidP="008B4E23">
      <w:pPr>
        <w:spacing w:after="0" w:line="312" w:lineRule="auto"/>
        <w:jc w:val="both"/>
        <w:rPr>
          <w:rFonts w:ascii="Arial" w:hAnsi="Arial" w:cs="Arial"/>
          <w:sz w:val="20"/>
          <w:szCs w:val="20"/>
        </w:rPr>
      </w:pPr>
      <w:r w:rsidRPr="00CC51E2">
        <w:rPr>
          <w:rFonts w:ascii="Arial" w:hAnsi="Arial" w:cs="Arial"/>
          <w:sz w:val="20"/>
          <w:szCs w:val="20"/>
        </w:rPr>
        <w:t>La Subdirección Administrativa, dependencia encargada de apoyar a la Direcci</w:t>
      </w:r>
      <w:r w:rsidR="0039053A" w:rsidRPr="00CC51E2">
        <w:rPr>
          <w:rFonts w:ascii="Arial" w:hAnsi="Arial" w:cs="Arial"/>
          <w:sz w:val="20"/>
          <w:szCs w:val="20"/>
        </w:rPr>
        <w:t>ón de Gestión Corporativa en la</w:t>
      </w:r>
      <w:r w:rsidRPr="00CC51E2">
        <w:rPr>
          <w:rFonts w:ascii="Arial" w:hAnsi="Arial" w:cs="Arial"/>
          <w:sz w:val="20"/>
          <w:szCs w:val="20"/>
        </w:rPr>
        <w:t xml:space="preserve"> </w:t>
      </w:r>
      <w:r w:rsidR="0039053A" w:rsidRPr="00CC51E2">
        <w:rPr>
          <w:rFonts w:ascii="Arial" w:hAnsi="Arial" w:cs="Arial"/>
          <w:sz w:val="20"/>
          <w:szCs w:val="20"/>
        </w:rPr>
        <w:t>Gestión A</w:t>
      </w:r>
      <w:r w:rsidRPr="00CC51E2">
        <w:rPr>
          <w:rFonts w:ascii="Arial" w:hAnsi="Arial" w:cs="Arial"/>
          <w:sz w:val="20"/>
          <w:szCs w:val="20"/>
        </w:rPr>
        <w:t>dministrativa de la Caja de la Vivienda Popular</w:t>
      </w:r>
      <w:r w:rsidR="0000754E" w:rsidRPr="00CC51E2">
        <w:rPr>
          <w:rFonts w:ascii="Arial" w:hAnsi="Arial" w:cs="Arial"/>
          <w:sz w:val="20"/>
          <w:szCs w:val="20"/>
        </w:rPr>
        <w:t>, tiene a cargo tres procesos fundamentales y transversales</w:t>
      </w:r>
      <w:r w:rsidR="008C577D" w:rsidRPr="00CC51E2">
        <w:rPr>
          <w:rFonts w:ascii="Arial" w:hAnsi="Arial" w:cs="Arial"/>
          <w:sz w:val="20"/>
          <w:szCs w:val="20"/>
        </w:rPr>
        <w:t xml:space="preserve"> para el funcionamiento de la entidad</w:t>
      </w:r>
      <w:r w:rsidR="0039053A" w:rsidRPr="00CC51E2">
        <w:rPr>
          <w:rFonts w:ascii="Arial" w:hAnsi="Arial" w:cs="Arial"/>
          <w:sz w:val="20"/>
          <w:szCs w:val="20"/>
        </w:rPr>
        <w:t xml:space="preserve">: </w:t>
      </w:r>
      <w:r w:rsidR="0000754E" w:rsidRPr="00CC51E2">
        <w:rPr>
          <w:rFonts w:ascii="Arial" w:hAnsi="Arial" w:cs="Arial"/>
          <w:sz w:val="20"/>
          <w:szCs w:val="20"/>
        </w:rPr>
        <w:t>Gestión del Talento Humano, Gestión Documental y Administración y Control de Recursos</w:t>
      </w:r>
      <w:r w:rsidR="008C577D" w:rsidRPr="00CC51E2">
        <w:rPr>
          <w:rFonts w:ascii="Arial" w:hAnsi="Arial" w:cs="Arial"/>
          <w:sz w:val="20"/>
          <w:szCs w:val="20"/>
        </w:rPr>
        <w:t xml:space="preserve"> – Gestión </w:t>
      </w:r>
      <w:r w:rsidR="00030642" w:rsidRPr="00CC51E2">
        <w:rPr>
          <w:rFonts w:ascii="Arial" w:hAnsi="Arial" w:cs="Arial"/>
          <w:sz w:val="20"/>
          <w:szCs w:val="20"/>
        </w:rPr>
        <w:t>Administrativa</w:t>
      </w:r>
      <w:r w:rsidR="0039053A" w:rsidRPr="00CC51E2">
        <w:rPr>
          <w:rFonts w:ascii="Arial" w:hAnsi="Arial" w:cs="Arial"/>
          <w:sz w:val="20"/>
          <w:szCs w:val="20"/>
        </w:rPr>
        <w:t>.</w:t>
      </w:r>
    </w:p>
    <w:p w:rsidR="00993884" w:rsidRPr="00CC51E2" w:rsidRDefault="00993884" w:rsidP="008B4E23">
      <w:pPr>
        <w:spacing w:after="0" w:line="312" w:lineRule="auto"/>
        <w:jc w:val="both"/>
        <w:rPr>
          <w:rFonts w:ascii="Arial" w:hAnsi="Arial" w:cs="Arial"/>
          <w:sz w:val="20"/>
          <w:szCs w:val="20"/>
        </w:rPr>
      </w:pPr>
    </w:p>
    <w:p w:rsidR="00993884" w:rsidRPr="00CC51E2" w:rsidRDefault="00993884" w:rsidP="008B4E23">
      <w:pPr>
        <w:spacing w:after="0" w:line="312" w:lineRule="auto"/>
        <w:jc w:val="both"/>
        <w:rPr>
          <w:rFonts w:ascii="Arial" w:hAnsi="Arial" w:cs="Arial"/>
          <w:sz w:val="20"/>
          <w:szCs w:val="20"/>
        </w:rPr>
      </w:pPr>
      <w:r w:rsidRPr="00CC51E2">
        <w:rPr>
          <w:rFonts w:ascii="Arial" w:hAnsi="Arial" w:cs="Arial"/>
          <w:sz w:val="20"/>
          <w:szCs w:val="20"/>
        </w:rPr>
        <w:t>En el</w:t>
      </w:r>
      <w:r w:rsidR="00611DF7" w:rsidRPr="00CC51E2">
        <w:rPr>
          <w:rFonts w:ascii="Arial" w:hAnsi="Arial" w:cs="Arial"/>
          <w:sz w:val="20"/>
          <w:szCs w:val="20"/>
        </w:rPr>
        <w:t xml:space="preserve"> tercer trimestre</w:t>
      </w:r>
      <w:r w:rsidRPr="00CC51E2">
        <w:rPr>
          <w:rFonts w:ascii="Arial" w:hAnsi="Arial" w:cs="Arial"/>
          <w:sz w:val="20"/>
          <w:szCs w:val="20"/>
        </w:rPr>
        <w:t xml:space="preserve"> de 2017 se han realizado importantes </w:t>
      </w:r>
      <w:r w:rsidR="00EC52A8" w:rsidRPr="00CC51E2">
        <w:rPr>
          <w:rFonts w:ascii="Arial" w:hAnsi="Arial" w:cs="Arial"/>
          <w:sz w:val="20"/>
          <w:szCs w:val="20"/>
        </w:rPr>
        <w:t xml:space="preserve">acciones </w:t>
      </w:r>
      <w:r w:rsidRPr="00CC51E2">
        <w:rPr>
          <w:rFonts w:ascii="Arial" w:hAnsi="Arial" w:cs="Arial"/>
          <w:sz w:val="20"/>
          <w:szCs w:val="20"/>
        </w:rPr>
        <w:t>en torno a la gestión de calidad de los procesos</w:t>
      </w:r>
      <w:r w:rsidR="00EC52A8" w:rsidRPr="00CC51E2">
        <w:rPr>
          <w:rFonts w:ascii="Arial" w:hAnsi="Arial" w:cs="Arial"/>
          <w:sz w:val="20"/>
          <w:szCs w:val="20"/>
        </w:rPr>
        <w:t>. S</w:t>
      </w:r>
      <w:r w:rsidRPr="00CC51E2">
        <w:rPr>
          <w:rFonts w:ascii="Arial" w:hAnsi="Arial" w:cs="Arial"/>
          <w:sz w:val="20"/>
          <w:szCs w:val="20"/>
        </w:rPr>
        <w:t>e actualizó el</w:t>
      </w:r>
      <w:r w:rsidR="00EC52A8" w:rsidRPr="00CC51E2">
        <w:rPr>
          <w:rFonts w:ascii="Arial" w:hAnsi="Arial" w:cs="Arial"/>
          <w:sz w:val="20"/>
          <w:szCs w:val="20"/>
        </w:rPr>
        <w:t xml:space="preserve"> proceso</w:t>
      </w:r>
      <w:r w:rsidRPr="00CC51E2">
        <w:rPr>
          <w:rFonts w:ascii="Arial" w:hAnsi="Arial" w:cs="Arial"/>
          <w:sz w:val="20"/>
          <w:szCs w:val="20"/>
        </w:rPr>
        <w:t xml:space="preserve"> de Talento Humano alineándolo a la estrategia de la entidad, Gestión Documental se separó de</w:t>
      </w:r>
      <w:r w:rsidR="002F5319" w:rsidRPr="00CC51E2">
        <w:rPr>
          <w:rFonts w:ascii="Arial" w:hAnsi="Arial" w:cs="Arial"/>
          <w:sz w:val="20"/>
          <w:szCs w:val="20"/>
        </w:rPr>
        <w:t>l proceso de Administración de la Información -</w:t>
      </w:r>
      <w:r w:rsidRPr="00CC51E2">
        <w:rPr>
          <w:rFonts w:ascii="Arial" w:hAnsi="Arial" w:cs="Arial"/>
          <w:sz w:val="20"/>
          <w:szCs w:val="20"/>
        </w:rPr>
        <w:t xml:space="preserve"> Sistemas, potenciando su actuar e independencia y</w:t>
      </w:r>
      <w:r w:rsidR="00611DF7" w:rsidRPr="00CC51E2">
        <w:rPr>
          <w:rFonts w:ascii="Arial" w:hAnsi="Arial" w:cs="Arial"/>
          <w:sz w:val="20"/>
          <w:szCs w:val="20"/>
        </w:rPr>
        <w:t xml:space="preserve"> el </w:t>
      </w:r>
      <w:r w:rsidR="006221E2" w:rsidRPr="00CC51E2">
        <w:rPr>
          <w:rFonts w:ascii="Arial" w:hAnsi="Arial" w:cs="Arial"/>
          <w:sz w:val="20"/>
          <w:szCs w:val="20"/>
        </w:rPr>
        <w:t>de Administración</w:t>
      </w:r>
      <w:r w:rsidR="002F5319" w:rsidRPr="00CC51E2">
        <w:rPr>
          <w:rFonts w:ascii="Arial" w:hAnsi="Arial" w:cs="Arial"/>
          <w:sz w:val="20"/>
          <w:szCs w:val="20"/>
        </w:rPr>
        <w:t xml:space="preserve"> y Control de Recursos </w:t>
      </w:r>
      <w:r w:rsidR="00611DF7" w:rsidRPr="00CC51E2">
        <w:rPr>
          <w:rFonts w:ascii="Arial" w:hAnsi="Arial" w:cs="Arial"/>
          <w:sz w:val="20"/>
          <w:szCs w:val="20"/>
        </w:rPr>
        <w:t>está listo para ser presentado ante el comité del Sistema Integrado de Gestión con el fin de separar de este a Gestión Financiera y Gestión Administrativa, éste último de competencia de esta Subdirección.</w:t>
      </w:r>
    </w:p>
    <w:p w:rsidR="00993884" w:rsidRPr="00CC51E2" w:rsidRDefault="00993884" w:rsidP="008B4E23">
      <w:pPr>
        <w:spacing w:after="0" w:line="312" w:lineRule="auto"/>
        <w:jc w:val="both"/>
        <w:rPr>
          <w:rFonts w:ascii="Arial" w:hAnsi="Arial" w:cs="Arial"/>
          <w:sz w:val="20"/>
          <w:szCs w:val="20"/>
        </w:rPr>
      </w:pPr>
    </w:p>
    <w:p w:rsidR="00993884" w:rsidRPr="00CC51E2" w:rsidRDefault="00C52E39" w:rsidP="008B4E23">
      <w:pPr>
        <w:spacing w:after="0" w:line="312" w:lineRule="auto"/>
        <w:jc w:val="both"/>
        <w:rPr>
          <w:rFonts w:ascii="Arial" w:hAnsi="Arial" w:cs="Arial"/>
          <w:sz w:val="20"/>
          <w:szCs w:val="20"/>
        </w:rPr>
      </w:pPr>
      <w:r w:rsidRPr="00CC51E2">
        <w:rPr>
          <w:rFonts w:ascii="Arial" w:hAnsi="Arial" w:cs="Arial"/>
          <w:sz w:val="20"/>
          <w:szCs w:val="20"/>
        </w:rPr>
        <w:t xml:space="preserve">Se evidencia que la gestión </w:t>
      </w:r>
      <w:r w:rsidR="00EC52A8" w:rsidRPr="00CC51E2">
        <w:rPr>
          <w:rFonts w:ascii="Arial" w:hAnsi="Arial" w:cs="Arial"/>
          <w:sz w:val="20"/>
          <w:szCs w:val="20"/>
        </w:rPr>
        <w:t>h</w:t>
      </w:r>
      <w:r w:rsidRPr="00CC51E2">
        <w:rPr>
          <w:rFonts w:ascii="Arial" w:hAnsi="Arial" w:cs="Arial"/>
          <w:sz w:val="20"/>
          <w:szCs w:val="20"/>
        </w:rPr>
        <w:t>a sido satisfactoria</w:t>
      </w:r>
      <w:r w:rsidR="00EC52A8" w:rsidRPr="00CC51E2">
        <w:rPr>
          <w:rFonts w:ascii="Arial" w:hAnsi="Arial" w:cs="Arial"/>
          <w:sz w:val="20"/>
          <w:szCs w:val="20"/>
        </w:rPr>
        <w:t xml:space="preserve"> y</w:t>
      </w:r>
      <w:r w:rsidRPr="00CC51E2">
        <w:rPr>
          <w:rFonts w:ascii="Arial" w:hAnsi="Arial" w:cs="Arial"/>
          <w:sz w:val="20"/>
          <w:szCs w:val="20"/>
        </w:rPr>
        <w:t xml:space="preserve"> el reporte de los planes de acción de manera ponderada </w:t>
      </w:r>
      <w:r w:rsidR="00EC52A8" w:rsidRPr="00CC51E2">
        <w:rPr>
          <w:rFonts w:ascii="Arial" w:hAnsi="Arial" w:cs="Arial"/>
          <w:sz w:val="20"/>
          <w:szCs w:val="20"/>
        </w:rPr>
        <w:t xml:space="preserve">reflejan </w:t>
      </w:r>
      <w:r w:rsidR="0014291D" w:rsidRPr="00CC51E2">
        <w:rPr>
          <w:rFonts w:ascii="Arial" w:hAnsi="Arial" w:cs="Arial"/>
          <w:sz w:val="20"/>
          <w:szCs w:val="20"/>
        </w:rPr>
        <w:t>un avance del 68</w:t>
      </w:r>
      <w:r w:rsidRPr="00CC51E2">
        <w:rPr>
          <w:rFonts w:ascii="Arial" w:hAnsi="Arial" w:cs="Arial"/>
          <w:sz w:val="20"/>
          <w:szCs w:val="20"/>
        </w:rPr>
        <w:t>%</w:t>
      </w:r>
      <w:r w:rsidR="00EC52A8" w:rsidRPr="00CC51E2">
        <w:rPr>
          <w:rFonts w:ascii="Arial" w:hAnsi="Arial" w:cs="Arial"/>
          <w:sz w:val="20"/>
          <w:szCs w:val="20"/>
        </w:rPr>
        <w:t>. L</w:t>
      </w:r>
      <w:r w:rsidRPr="00CC51E2">
        <w:rPr>
          <w:rFonts w:ascii="Arial" w:hAnsi="Arial" w:cs="Arial"/>
          <w:sz w:val="20"/>
          <w:szCs w:val="20"/>
        </w:rPr>
        <w:t>os procesos contractuales</w:t>
      </w:r>
      <w:r w:rsidR="00F434BB" w:rsidRPr="00CC51E2">
        <w:rPr>
          <w:rFonts w:ascii="Arial" w:hAnsi="Arial" w:cs="Arial"/>
          <w:sz w:val="20"/>
          <w:szCs w:val="20"/>
        </w:rPr>
        <w:t xml:space="preserve"> contemplados</w:t>
      </w:r>
      <w:r w:rsidRPr="00CC51E2">
        <w:rPr>
          <w:rFonts w:ascii="Arial" w:hAnsi="Arial" w:cs="Arial"/>
          <w:sz w:val="20"/>
          <w:szCs w:val="20"/>
        </w:rPr>
        <w:t xml:space="preserve"> en el Plan Anual de </w:t>
      </w:r>
      <w:r w:rsidR="00F434BB" w:rsidRPr="00CC51E2">
        <w:rPr>
          <w:rFonts w:ascii="Arial" w:hAnsi="Arial" w:cs="Arial"/>
          <w:sz w:val="20"/>
          <w:szCs w:val="20"/>
        </w:rPr>
        <w:t>A</w:t>
      </w:r>
      <w:r w:rsidRPr="00CC51E2">
        <w:rPr>
          <w:rFonts w:ascii="Arial" w:hAnsi="Arial" w:cs="Arial"/>
          <w:sz w:val="20"/>
          <w:szCs w:val="20"/>
        </w:rPr>
        <w:t xml:space="preserve">dquisiciones </w:t>
      </w:r>
      <w:r w:rsidR="00F434BB" w:rsidRPr="00CC51E2">
        <w:rPr>
          <w:rFonts w:ascii="Arial" w:hAnsi="Arial" w:cs="Arial"/>
          <w:sz w:val="20"/>
          <w:szCs w:val="20"/>
        </w:rPr>
        <w:t xml:space="preserve">tienen </w:t>
      </w:r>
      <w:r w:rsidRPr="00CC51E2">
        <w:rPr>
          <w:rFonts w:ascii="Arial" w:hAnsi="Arial" w:cs="Arial"/>
          <w:sz w:val="20"/>
          <w:szCs w:val="20"/>
        </w:rPr>
        <w:t>un avance</w:t>
      </w:r>
      <w:r w:rsidR="00F434BB" w:rsidRPr="00CC51E2">
        <w:rPr>
          <w:rFonts w:ascii="Arial" w:hAnsi="Arial" w:cs="Arial"/>
          <w:sz w:val="20"/>
          <w:szCs w:val="20"/>
        </w:rPr>
        <w:t xml:space="preserve"> del 84%, producto del </w:t>
      </w:r>
      <w:r w:rsidRPr="00CC51E2">
        <w:rPr>
          <w:rFonts w:ascii="Arial" w:hAnsi="Arial" w:cs="Arial"/>
          <w:sz w:val="20"/>
          <w:szCs w:val="20"/>
        </w:rPr>
        <w:t xml:space="preserve">seguimiento y control implementado </w:t>
      </w:r>
      <w:r w:rsidR="00F434BB" w:rsidRPr="00CC51E2">
        <w:rPr>
          <w:rFonts w:ascii="Arial" w:hAnsi="Arial" w:cs="Arial"/>
          <w:sz w:val="20"/>
          <w:szCs w:val="20"/>
        </w:rPr>
        <w:t xml:space="preserve">mediante </w:t>
      </w:r>
      <w:r w:rsidRPr="00CC51E2">
        <w:rPr>
          <w:rFonts w:ascii="Arial" w:hAnsi="Arial" w:cs="Arial"/>
          <w:sz w:val="20"/>
          <w:szCs w:val="20"/>
        </w:rPr>
        <w:t>las diferentes herramientas que tiene a cargo la Subdirección</w:t>
      </w:r>
      <w:r w:rsidR="00F434BB" w:rsidRPr="00CC51E2">
        <w:rPr>
          <w:rFonts w:ascii="Arial" w:hAnsi="Arial" w:cs="Arial"/>
          <w:sz w:val="20"/>
          <w:szCs w:val="20"/>
        </w:rPr>
        <w:t xml:space="preserve"> Administrativa.</w:t>
      </w:r>
    </w:p>
    <w:p w:rsidR="00C52E39" w:rsidRPr="00CC51E2" w:rsidRDefault="00C52E39" w:rsidP="008B4E23">
      <w:pPr>
        <w:spacing w:after="0" w:line="312" w:lineRule="auto"/>
        <w:jc w:val="both"/>
        <w:rPr>
          <w:rFonts w:ascii="Arial" w:hAnsi="Arial" w:cs="Arial"/>
          <w:sz w:val="20"/>
          <w:szCs w:val="20"/>
        </w:rPr>
      </w:pPr>
    </w:p>
    <w:p w:rsidR="00C52E39" w:rsidRPr="00CC51E2" w:rsidRDefault="00C52E39" w:rsidP="008B4E23">
      <w:pPr>
        <w:spacing w:after="0" w:line="312" w:lineRule="auto"/>
        <w:jc w:val="both"/>
        <w:rPr>
          <w:rFonts w:ascii="Arial" w:hAnsi="Arial" w:cs="Arial"/>
          <w:sz w:val="20"/>
          <w:szCs w:val="20"/>
        </w:rPr>
      </w:pPr>
      <w:r w:rsidRPr="00CC51E2">
        <w:rPr>
          <w:rFonts w:ascii="Arial" w:hAnsi="Arial" w:cs="Arial"/>
          <w:sz w:val="20"/>
          <w:szCs w:val="20"/>
        </w:rPr>
        <w:t xml:space="preserve">En </w:t>
      </w:r>
      <w:r w:rsidR="00232D00" w:rsidRPr="00CC51E2">
        <w:rPr>
          <w:rFonts w:ascii="Arial" w:hAnsi="Arial" w:cs="Arial"/>
          <w:sz w:val="20"/>
          <w:szCs w:val="20"/>
        </w:rPr>
        <w:t>consecuencia,</w:t>
      </w:r>
      <w:r w:rsidRPr="00CC51E2">
        <w:rPr>
          <w:rFonts w:ascii="Arial" w:hAnsi="Arial" w:cs="Arial"/>
          <w:sz w:val="20"/>
          <w:szCs w:val="20"/>
        </w:rPr>
        <w:t xml:space="preserve"> se ha logrado avanzar con las actividades </w:t>
      </w:r>
      <w:r w:rsidR="00F434BB" w:rsidRPr="00CC51E2">
        <w:rPr>
          <w:rFonts w:ascii="Arial" w:hAnsi="Arial" w:cs="Arial"/>
          <w:sz w:val="20"/>
          <w:szCs w:val="20"/>
        </w:rPr>
        <w:t xml:space="preserve">propias para la </w:t>
      </w:r>
      <w:r w:rsidRPr="00CC51E2">
        <w:rPr>
          <w:rFonts w:ascii="Arial" w:hAnsi="Arial" w:cs="Arial"/>
          <w:sz w:val="20"/>
          <w:szCs w:val="20"/>
        </w:rPr>
        <w:t>satisfacción de las necesidades de la planta de personal de la Entidad, el mejoramiento de los archivos de las dependencias</w:t>
      </w:r>
      <w:r w:rsidR="0014243E" w:rsidRPr="00CC51E2">
        <w:rPr>
          <w:rFonts w:ascii="Arial" w:hAnsi="Arial" w:cs="Arial"/>
          <w:sz w:val="20"/>
          <w:szCs w:val="20"/>
        </w:rPr>
        <w:t xml:space="preserve"> y se ha</w:t>
      </w:r>
      <w:r w:rsidR="004F7552" w:rsidRPr="00CC51E2">
        <w:rPr>
          <w:rFonts w:ascii="Arial" w:hAnsi="Arial" w:cs="Arial"/>
          <w:sz w:val="20"/>
          <w:szCs w:val="20"/>
        </w:rPr>
        <w:t>n</w:t>
      </w:r>
      <w:r w:rsidR="0014243E" w:rsidRPr="00CC51E2">
        <w:rPr>
          <w:rFonts w:ascii="Arial" w:hAnsi="Arial" w:cs="Arial"/>
          <w:sz w:val="20"/>
          <w:szCs w:val="20"/>
        </w:rPr>
        <w:t xml:space="preserve"> garantizado los servicios administrativos </w:t>
      </w:r>
      <w:r w:rsidR="00F434BB" w:rsidRPr="00CC51E2">
        <w:rPr>
          <w:rFonts w:ascii="Arial" w:hAnsi="Arial" w:cs="Arial"/>
          <w:sz w:val="20"/>
          <w:szCs w:val="20"/>
        </w:rPr>
        <w:t xml:space="preserve">y de apoyo </w:t>
      </w:r>
      <w:r w:rsidR="0014243E" w:rsidRPr="00CC51E2">
        <w:rPr>
          <w:rFonts w:ascii="Arial" w:hAnsi="Arial" w:cs="Arial"/>
          <w:sz w:val="20"/>
          <w:szCs w:val="20"/>
        </w:rPr>
        <w:t>para el correcto funcionamiento de la misionalidad de la Caja de la Vivienda Popular</w:t>
      </w:r>
      <w:r w:rsidR="004F7552" w:rsidRPr="00CC51E2">
        <w:rPr>
          <w:rFonts w:ascii="Arial" w:hAnsi="Arial" w:cs="Arial"/>
          <w:sz w:val="20"/>
          <w:szCs w:val="20"/>
        </w:rPr>
        <w:t>.</w:t>
      </w:r>
    </w:p>
    <w:p w:rsidR="00993884" w:rsidRPr="00CC51E2" w:rsidRDefault="00993884" w:rsidP="008B4E23">
      <w:pPr>
        <w:spacing w:after="0" w:line="312" w:lineRule="auto"/>
        <w:jc w:val="both"/>
        <w:rPr>
          <w:rFonts w:ascii="Arial" w:hAnsi="Arial" w:cs="Arial"/>
          <w:sz w:val="20"/>
          <w:szCs w:val="20"/>
        </w:rPr>
      </w:pPr>
    </w:p>
    <w:p w:rsidR="00DB0231" w:rsidRPr="00CC51E2" w:rsidRDefault="00DB0231" w:rsidP="008B4E23">
      <w:pPr>
        <w:spacing w:after="0" w:line="312" w:lineRule="auto"/>
        <w:jc w:val="both"/>
        <w:rPr>
          <w:rFonts w:ascii="Arial" w:hAnsi="Arial" w:cs="Arial"/>
          <w:color w:val="1F497D" w:themeColor="text2"/>
          <w:sz w:val="20"/>
          <w:szCs w:val="20"/>
        </w:rPr>
      </w:pPr>
      <w:r w:rsidRPr="00CC51E2">
        <w:rPr>
          <w:rFonts w:ascii="Arial" w:hAnsi="Arial" w:cs="Arial"/>
          <w:color w:val="1F497D" w:themeColor="text2"/>
          <w:sz w:val="20"/>
          <w:szCs w:val="20"/>
        </w:rPr>
        <w:br w:type="page"/>
      </w:r>
    </w:p>
    <w:p w:rsidR="00DB0231" w:rsidRPr="00CC51E2" w:rsidRDefault="00DB0231">
      <w:pPr>
        <w:spacing w:after="0" w:line="240" w:lineRule="auto"/>
        <w:rPr>
          <w:rFonts w:ascii="Arial" w:hAnsi="Arial" w:cs="Arial"/>
          <w:b/>
          <w:color w:val="1F497D" w:themeColor="text2"/>
          <w:sz w:val="20"/>
          <w:szCs w:val="20"/>
        </w:rPr>
      </w:pPr>
    </w:p>
    <w:p w:rsidR="000642CE"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color w:val="1F497D" w:themeColor="text2"/>
          <w:sz w:val="20"/>
          <w:szCs w:val="20"/>
        </w:rPr>
        <w:t>AVANCE PLANES DE ACCIÓN DE GESTIÓN 2017.</w:t>
      </w:r>
    </w:p>
    <w:p w:rsidR="00EC5960" w:rsidRPr="00CC51E2" w:rsidRDefault="00EC5960" w:rsidP="00EC5960">
      <w:pPr>
        <w:spacing w:after="0" w:line="240" w:lineRule="auto"/>
        <w:rPr>
          <w:rFonts w:ascii="Arial" w:hAnsi="Arial" w:cs="Arial"/>
          <w:b/>
          <w:sz w:val="20"/>
          <w:szCs w:val="20"/>
        </w:rPr>
      </w:pPr>
    </w:p>
    <w:p w:rsidR="00EC5960" w:rsidRPr="00CC51E2" w:rsidRDefault="00EC5960" w:rsidP="00EC5960">
      <w:pPr>
        <w:spacing w:after="0" w:line="240" w:lineRule="auto"/>
        <w:rPr>
          <w:rFonts w:ascii="Arial" w:hAnsi="Arial" w:cs="Arial"/>
          <w:b/>
          <w:sz w:val="20"/>
          <w:szCs w:val="20"/>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t>Proceso Gestión del Talento Humano.</w:t>
      </w:r>
    </w:p>
    <w:p w:rsidR="00F33AE9" w:rsidRPr="00CC51E2" w:rsidRDefault="00F33AE9" w:rsidP="00F33AE9">
      <w:pPr>
        <w:pStyle w:val="Prrafodelista"/>
        <w:spacing w:after="0" w:line="240" w:lineRule="auto"/>
        <w:ind w:left="360"/>
        <w:rPr>
          <w:rFonts w:ascii="Arial" w:hAnsi="Arial" w:cs="Arial"/>
          <w:b/>
          <w:color w:val="4F81BD" w:themeColor="accent1"/>
          <w:sz w:val="20"/>
          <w:szCs w:val="20"/>
          <w:u w:val="single"/>
        </w:rPr>
      </w:pP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1F6309" w:rsidRPr="00CC51E2" w:rsidRDefault="00F33AE9" w:rsidP="00F33AE9">
      <w:pPr>
        <w:pStyle w:val="Prrafodelista"/>
        <w:spacing w:after="0" w:line="312" w:lineRule="auto"/>
        <w:ind w:left="357"/>
        <w:jc w:val="both"/>
        <w:rPr>
          <w:rFonts w:ascii="Arial" w:hAnsi="Arial" w:cs="Arial"/>
          <w:sz w:val="20"/>
          <w:szCs w:val="20"/>
        </w:rPr>
      </w:pPr>
      <w:r w:rsidRPr="00CC51E2">
        <w:rPr>
          <w:rFonts w:ascii="Arial" w:hAnsi="Arial" w:cs="Arial"/>
          <w:sz w:val="20"/>
          <w:szCs w:val="20"/>
        </w:rPr>
        <w:t>Este proceso surtió u</w:t>
      </w:r>
      <w:r w:rsidR="00206A8B" w:rsidRPr="00CC51E2">
        <w:rPr>
          <w:rFonts w:ascii="Arial" w:hAnsi="Arial" w:cs="Arial"/>
          <w:sz w:val="20"/>
          <w:szCs w:val="20"/>
        </w:rPr>
        <w:t>n cambio importante en el tercer tri</w:t>
      </w:r>
      <w:r w:rsidRPr="00CC51E2">
        <w:rPr>
          <w:rFonts w:ascii="Arial" w:hAnsi="Arial" w:cs="Arial"/>
          <w:sz w:val="20"/>
          <w:szCs w:val="20"/>
        </w:rPr>
        <w:t xml:space="preserve">mestre de 2017, se analizó de manera integral con el equipo de trabajo encargado de apoyar la administración de personal, con el fin de lograr cohesión entre las actividades del proceso, así como alinear todas las acciones enmarcadas en la gestión del talento humano </w:t>
      </w:r>
      <w:r w:rsidR="00BD1D4D" w:rsidRPr="00CC51E2">
        <w:rPr>
          <w:rFonts w:ascii="Arial" w:hAnsi="Arial" w:cs="Arial"/>
          <w:sz w:val="20"/>
          <w:szCs w:val="20"/>
        </w:rPr>
        <w:t xml:space="preserve">con la estrategia de la entidad, </w:t>
      </w:r>
      <w:r w:rsidR="00666F19" w:rsidRPr="00CC51E2">
        <w:rPr>
          <w:rFonts w:ascii="Arial" w:hAnsi="Arial" w:cs="Arial"/>
          <w:sz w:val="20"/>
          <w:szCs w:val="20"/>
        </w:rPr>
        <w:t>igualmente</w:t>
      </w:r>
      <w:r w:rsidR="00BD1D4D" w:rsidRPr="00CC51E2">
        <w:rPr>
          <w:rFonts w:ascii="Arial" w:hAnsi="Arial" w:cs="Arial"/>
          <w:sz w:val="20"/>
          <w:szCs w:val="20"/>
        </w:rPr>
        <w:t xml:space="preserve"> era de suma importancia realizar la separación del Proceso de Control Interno Disciplinario en cumplimie</w:t>
      </w:r>
      <w:r w:rsidR="00BA1C3F" w:rsidRPr="00CC51E2">
        <w:rPr>
          <w:rFonts w:ascii="Arial" w:hAnsi="Arial" w:cs="Arial"/>
          <w:sz w:val="20"/>
          <w:szCs w:val="20"/>
        </w:rPr>
        <w:t>n</w:t>
      </w:r>
      <w:r w:rsidR="00032105" w:rsidRPr="00CC51E2">
        <w:rPr>
          <w:rFonts w:ascii="Arial" w:hAnsi="Arial" w:cs="Arial"/>
          <w:sz w:val="20"/>
          <w:szCs w:val="20"/>
        </w:rPr>
        <w:t xml:space="preserve">to del marco normativo vigente y </w:t>
      </w:r>
      <w:r w:rsidR="00BD1D4D" w:rsidRPr="00CC51E2">
        <w:rPr>
          <w:rFonts w:ascii="Arial" w:hAnsi="Arial" w:cs="Arial"/>
          <w:sz w:val="20"/>
          <w:szCs w:val="20"/>
        </w:rPr>
        <w:t>en concordancia con la estructura organizacional de la Caja de la Vivienda Popular y su Sistema Integrado de Gestión.</w:t>
      </w:r>
    </w:p>
    <w:p w:rsidR="00F33AE9" w:rsidRPr="00CC51E2" w:rsidRDefault="00F33AE9" w:rsidP="00F33AE9">
      <w:pPr>
        <w:pStyle w:val="Prrafodelista"/>
        <w:spacing w:after="0" w:line="312" w:lineRule="auto"/>
        <w:ind w:left="357"/>
        <w:jc w:val="both"/>
        <w:rPr>
          <w:rFonts w:ascii="Arial" w:hAnsi="Arial" w:cs="Arial"/>
          <w:sz w:val="20"/>
          <w:szCs w:val="20"/>
        </w:rPr>
      </w:pPr>
    </w:p>
    <w:p w:rsidR="00F33AE9" w:rsidRPr="00CC51E2" w:rsidRDefault="00F33AE9" w:rsidP="00F33AE9">
      <w:pPr>
        <w:pStyle w:val="Prrafodelista"/>
        <w:spacing w:after="0" w:line="312" w:lineRule="auto"/>
        <w:ind w:left="357"/>
        <w:jc w:val="both"/>
        <w:rPr>
          <w:rFonts w:ascii="Arial" w:hAnsi="Arial" w:cs="Arial"/>
          <w:sz w:val="20"/>
          <w:szCs w:val="20"/>
        </w:rPr>
      </w:pPr>
      <w:r w:rsidRPr="00CC51E2">
        <w:rPr>
          <w:rFonts w:ascii="Arial" w:hAnsi="Arial" w:cs="Arial"/>
          <w:sz w:val="20"/>
          <w:szCs w:val="20"/>
        </w:rPr>
        <w:t>En consecuencia, se desarrollaron mesas de trabajo para la construcción del nuevo proceso de Gestión del Talento Humano</w:t>
      </w:r>
      <w:r w:rsidR="002B1B5C" w:rsidRPr="00CC51E2">
        <w:rPr>
          <w:rFonts w:ascii="Arial" w:hAnsi="Arial" w:cs="Arial"/>
          <w:sz w:val="20"/>
          <w:szCs w:val="20"/>
        </w:rPr>
        <w:t xml:space="preserve"> caracterizándolo</w:t>
      </w:r>
      <w:r w:rsidRPr="00CC51E2">
        <w:rPr>
          <w:rFonts w:ascii="Arial" w:hAnsi="Arial" w:cs="Arial"/>
          <w:sz w:val="20"/>
          <w:szCs w:val="20"/>
        </w:rPr>
        <w:t xml:space="preserve"> en tres macroactividades</w:t>
      </w:r>
      <w:r w:rsidR="002B1B5C" w:rsidRPr="00CC51E2">
        <w:rPr>
          <w:rFonts w:ascii="Arial" w:hAnsi="Arial" w:cs="Arial"/>
          <w:sz w:val="20"/>
          <w:szCs w:val="20"/>
        </w:rPr>
        <w:t>:</w:t>
      </w:r>
    </w:p>
    <w:p w:rsidR="002B1B5C" w:rsidRPr="00CC51E2" w:rsidRDefault="002B1B5C" w:rsidP="00F33AE9">
      <w:pPr>
        <w:pStyle w:val="Prrafodelista"/>
        <w:spacing w:after="0" w:line="312" w:lineRule="auto"/>
        <w:ind w:left="357"/>
        <w:jc w:val="both"/>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Satisfacción de las necesidades del Talento Humano</w:t>
      </w:r>
      <w:r w:rsidRPr="00CC51E2">
        <w:rPr>
          <w:rFonts w:ascii="Arial" w:hAnsi="Arial" w:cs="Arial"/>
          <w:sz w:val="20"/>
          <w:szCs w:val="20"/>
        </w:rPr>
        <w:t>:</w:t>
      </w:r>
      <w:r w:rsidR="00032105" w:rsidRPr="00CC51E2">
        <w:rPr>
          <w:rFonts w:ascii="Arial" w:hAnsi="Arial" w:cs="Arial"/>
          <w:sz w:val="20"/>
          <w:szCs w:val="20"/>
        </w:rPr>
        <w:t xml:space="preserve"> E</w:t>
      </w:r>
      <w:r w:rsidR="00F86C42" w:rsidRPr="00CC51E2">
        <w:rPr>
          <w:rFonts w:ascii="Arial" w:hAnsi="Arial" w:cs="Arial"/>
          <w:sz w:val="20"/>
          <w:szCs w:val="20"/>
        </w:rPr>
        <w:t xml:space="preserve">s la ejecución de los planes, programas y proyectos relacionados con </w:t>
      </w:r>
      <w:r w:rsidR="00032105" w:rsidRPr="00CC51E2">
        <w:rPr>
          <w:rFonts w:ascii="Arial" w:hAnsi="Arial" w:cs="Arial"/>
          <w:sz w:val="20"/>
          <w:szCs w:val="20"/>
        </w:rPr>
        <w:t>C</w:t>
      </w:r>
      <w:r w:rsidR="00F86C42" w:rsidRPr="00CC51E2">
        <w:rPr>
          <w:rFonts w:ascii="Arial" w:hAnsi="Arial" w:cs="Arial"/>
          <w:sz w:val="20"/>
          <w:szCs w:val="20"/>
        </w:rPr>
        <w:t xml:space="preserve">apacitación, </w:t>
      </w:r>
      <w:r w:rsidR="00032105" w:rsidRPr="00CC51E2">
        <w:rPr>
          <w:rFonts w:ascii="Arial" w:hAnsi="Arial" w:cs="Arial"/>
          <w:sz w:val="20"/>
          <w:szCs w:val="20"/>
        </w:rPr>
        <w:t>B</w:t>
      </w:r>
      <w:r w:rsidR="00F86C42" w:rsidRPr="00CC51E2">
        <w:rPr>
          <w:rFonts w:ascii="Arial" w:hAnsi="Arial" w:cs="Arial"/>
          <w:sz w:val="20"/>
          <w:szCs w:val="20"/>
        </w:rPr>
        <w:t xml:space="preserve">ienestar y </w:t>
      </w:r>
      <w:r w:rsidR="00032105" w:rsidRPr="00CC51E2">
        <w:rPr>
          <w:rFonts w:ascii="Arial" w:hAnsi="Arial" w:cs="Arial"/>
          <w:sz w:val="20"/>
          <w:szCs w:val="20"/>
        </w:rPr>
        <w:t>S</w:t>
      </w:r>
      <w:r w:rsidR="00F86C42" w:rsidRPr="00CC51E2">
        <w:rPr>
          <w:rFonts w:ascii="Arial" w:hAnsi="Arial" w:cs="Arial"/>
          <w:sz w:val="20"/>
          <w:szCs w:val="20"/>
        </w:rPr>
        <w:t xml:space="preserve">eguridad y </w:t>
      </w:r>
      <w:r w:rsidR="00032105" w:rsidRPr="00CC51E2">
        <w:rPr>
          <w:rFonts w:ascii="Arial" w:hAnsi="Arial" w:cs="Arial"/>
          <w:sz w:val="20"/>
          <w:szCs w:val="20"/>
        </w:rPr>
        <w:t>S</w:t>
      </w:r>
      <w:r w:rsidR="00F86C42" w:rsidRPr="00CC51E2">
        <w:rPr>
          <w:rFonts w:ascii="Arial" w:hAnsi="Arial" w:cs="Arial"/>
          <w:sz w:val="20"/>
          <w:szCs w:val="20"/>
        </w:rPr>
        <w:t xml:space="preserve">alud en el </w:t>
      </w:r>
      <w:r w:rsidR="00032105" w:rsidRPr="00CC51E2">
        <w:rPr>
          <w:rFonts w:ascii="Arial" w:hAnsi="Arial" w:cs="Arial"/>
          <w:sz w:val="20"/>
          <w:szCs w:val="20"/>
        </w:rPr>
        <w:t>T</w:t>
      </w:r>
      <w:r w:rsidR="00F86C42" w:rsidRPr="00CC51E2">
        <w:rPr>
          <w:rFonts w:ascii="Arial" w:hAnsi="Arial" w:cs="Arial"/>
          <w:sz w:val="20"/>
          <w:szCs w:val="20"/>
        </w:rPr>
        <w:t>rabajo.</w:t>
      </w:r>
    </w:p>
    <w:p w:rsidR="00F86C42" w:rsidRPr="00CC51E2" w:rsidRDefault="00F86C42" w:rsidP="00F86C42">
      <w:pPr>
        <w:pStyle w:val="Prrafodelista"/>
        <w:spacing w:after="0" w:line="312" w:lineRule="auto"/>
        <w:jc w:val="both"/>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Administración de la Planta de Personal</w:t>
      </w:r>
      <w:r w:rsidRPr="00CC51E2">
        <w:rPr>
          <w:rFonts w:ascii="Arial" w:hAnsi="Arial" w:cs="Arial"/>
          <w:sz w:val="20"/>
          <w:szCs w:val="20"/>
        </w:rPr>
        <w:t>:</w:t>
      </w:r>
      <w:r w:rsidR="00B157E1" w:rsidRPr="00CC51E2">
        <w:rPr>
          <w:rFonts w:ascii="Arial" w:hAnsi="Arial" w:cs="Arial"/>
          <w:sz w:val="20"/>
          <w:szCs w:val="20"/>
        </w:rPr>
        <w:t xml:space="preserve"> comprende las actividades relacionadas con el manejo de la planta de personal, tales como vinculaciones, gestión de las novedades o situaciones administrativas</w:t>
      </w:r>
      <w:r w:rsidR="00A34937" w:rsidRPr="00CC51E2">
        <w:rPr>
          <w:rFonts w:ascii="Arial" w:hAnsi="Arial" w:cs="Arial"/>
          <w:sz w:val="20"/>
          <w:szCs w:val="20"/>
        </w:rPr>
        <w:t>, gestión de nómina y seguridad social, así como la custodia de las historias laborales de los funcionarios y exfuncionarios de la Entidad.</w:t>
      </w:r>
    </w:p>
    <w:p w:rsidR="00B157E1" w:rsidRPr="00CC51E2" w:rsidRDefault="00B157E1" w:rsidP="00B157E1">
      <w:pPr>
        <w:pStyle w:val="Prrafodelista"/>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Operación de los Sistemas de Evaluación de Desempeño de la Gestión de la Planta de Personal</w:t>
      </w:r>
      <w:r w:rsidRPr="00CC51E2">
        <w:rPr>
          <w:rFonts w:ascii="Arial" w:hAnsi="Arial" w:cs="Arial"/>
          <w:sz w:val="20"/>
          <w:szCs w:val="20"/>
        </w:rPr>
        <w:t>:</w:t>
      </w:r>
      <w:r w:rsidR="002E1440" w:rsidRPr="00CC51E2">
        <w:rPr>
          <w:rFonts w:ascii="Arial" w:hAnsi="Arial" w:cs="Arial"/>
          <w:sz w:val="20"/>
          <w:szCs w:val="20"/>
        </w:rPr>
        <w:t xml:space="preserve"> establecimiento de las diferentes metodologías para la evaluación de los funcionarios públicos, con el fin de fortalecer los programas de inducción y </w:t>
      </w:r>
      <w:r w:rsidR="00522ABE" w:rsidRPr="00CC51E2">
        <w:rPr>
          <w:rFonts w:ascii="Arial" w:hAnsi="Arial" w:cs="Arial"/>
          <w:sz w:val="20"/>
          <w:szCs w:val="20"/>
        </w:rPr>
        <w:t>reinducción,</w:t>
      </w:r>
      <w:r w:rsidR="002E1440" w:rsidRPr="00CC51E2">
        <w:rPr>
          <w:rFonts w:ascii="Arial" w:hAnsi="Arial" w:cs="Arial"/>
          <w:sz w:val="20"/>
          <w:szCs w:val="20"/>
        </w:rPr>
        <w:t xml:space="preserve"> así como el plan de capacitaci</w:t>
      </w:r>
      <w:r w:rsidR="000B771A" w:rsidRPr="00CC51E2">
        <w:rPr>
          <w:rFonts w:ascii="Arial" w:hAnsi="Arial" w:cs="Arial"/>
          <w:sz w:val="20"/>
          <w:szCs w:val="20"/>
        </w:rPr>
        <w:t>ón institucional.</w:t>
      </w:r>
    </w:p>
    <w:p w:rsidR="00B92476" w:rsidRPr="00CC51E2" w:rsidRDefault="00206A8B" w:rsidP="00206A8B">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58240" behindDoc="1" locked="0" layoutInCell="1" allowOverlap="1" wp14:anchorId="20EDF557" wp14:editId="63E9D8AE">
            <wp:simplePos x="0" y="0"/>
            <wp:positionH relativeFrom="column">
              <wp:posOffset>72390</wp:posOffset>
            </wp:positionH>
            <wp:positionV relativeFrom="paragraph">
              <wp:posOffset>475615</wp:posOffset>
            </wp:positionV>
            <wp:extent cx="5829300" cy="326644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29300" cy="3266440"/>
                    </a:xfrm>
                    <a:prstGeom prst="rect">
                      <a:avLst/>
                    </a:prstGeom>
                    <a:noFill/>
                  </pic:spPr>
                </pic:pic>
              </a:graphicData>
            </a:graphic>
            <wp14:sizeRelH relativeFrom="page">
              <wp14:pctWidth>0</wp14:pctWidth>
            </wp14:sizeRelH>
            <wp14:sizeRelV relativeFrom="page">
              <wp14:pctHeight>0</wp14:pctHeight>
            </wp14:sizeRelV>
          </wp:anchor>
        </w:drawing>
      </w:r>
      <w:r w:rsidR="00B92476" w:rsidRPr="00CC51E2">
        <w:rPr>
          <w:rFonts w:ascii="Arial" w:hAnsi="Arial" w:cs="Arial"/>
          <w:sz w:val="20"/>
          <w:szCs w:val="20"/>
        </w:rPr>
        <w:t>El avance del Plan de Acción del Proceso</w:t>
      </w:r>
      <w:r w:rsidR="00377878" w:rsidRPr="00CC51E2">
        <w:rPr>
          <w:rFonts w:ascii="Arial" w:hAnsi="Arial" w:cs="Arial"/>
          <w:sz w:val="20"/>
          <w:szCs w:val="20"/>
        </w:rPr>
        <w:t xml:space="preserve"> de Gestión</w:t>
      </w:r>
      <w:r w:rsidR="006C7E39" w:rsidRPr="00CC51E2">
        <w:rPr>
          <w:rFonts w:ascii="Arial" w:hAnsi="Arial" w:cs="Arial"/>
          <w:sz w:val="20"/>
          <w:szCs w:val="20"/>
        </w:rPr>
        <w:t xml:space="preserve"> del Talento Humano</w:t>
      </w:r>
      <w:r w:rsidRPr="00CC51E2">
        <w:rPr>
          <w:rFonts w:ascii="Arial" w:hAnsi="Arial" w:cs="Arial"/>
          <w:sz w:val="20"/>
          <w:szCs w:val="20"/>
        </w:rPr>
        <w:t xml:space="preserve"> a 31</w:t>
      </w:r>
      <w:r w:rsidR="00377878" w:rsidRPr="00CC51E2">
        <w:rPr>
          <w:rFonts w:ascii="Arial" w:hAnsi="Arial" w:cs="Arial"/>
          <w:sz w:val="20"/>
          <w:szCs w:val="20"/>
        </w:rPr>
        <w:t xml:space="preserve"> de </w:t>
      </w:r>
      <w:r w:rsidRPr="00CC51E2">
        <w:rPr>
          <w:rFonts w:ascii="Arial" w:hAnsi="Arial" w:cs="Arial"/>
          <w:sz w:val="20"/>
          <w:szCs w:val="20"/>
        </w:rPr>
        <w:t>octubre</w:t>
      </w:r>
      <w:r w:rsidR="00377878" w:rsidRPr="00CC51E2">
        <w:rPr>
          <w:rFonts w:ascii="Arial" w:hAnsi="Arial" w:cs="Arial"/>
          <w:sz w:val="20"/>
          <w:szCs w:val="20"/>
        </w:rPr>
        <w:t xml:space="preserve"> de 2017</w:t>
      </w:r>
      <w:r w:rsidR="00B92476" w:rsidRPr="00CC51E2">
        <w:rPr>
          <w:rFonts w:ascii="Arial" w:hAnsi="Arial" w:cs="Arial"/>
          <w:sz w:val="20"/>
          <w:szCs w:val="20"/>
        </w:rPr>
        <w:t xml:space="preserve"> es el siguiente:</w:t>
      </w:r>
    </w:p>
    <w:p w:rsidR="00206A8B" w:rsidRPr="00CC51E2" w:rsidRDefault="00206A8B" w:rsidP="00206A8B">
      <w:pPr>
        <w:jc w:val="both"/>
        <w:rPr>
          <w:rFonts w:ascii="Arial" w:hAnsi="Arial" w:cs="Arial"/>
          <w:sz w:val="20"/>
          <w:szCs w:val="20"/>
        </w:rPr>
      </w:pPr>
    </w:p>
    <w:p w:rsidR="00206A8B" w:rsidRPr="00CC51E2" w:rsidRDefault="00206A8B" w:rsidP="00183397">
      <w:pPr>
        <w:pStyle w:val="Prrafodelista"/>
        <w:ind w:left="426"/>
        <w:jc w:val="both"/>
        <w:rPr>
          <w:rFonts w:ascii="Arial" w:hAnsi="Arial" w:cs="Arial"/>
          <w:sz w:val="20"/>
          <w:szCs w:val="20"/>
        </w:rPr>
      </w:pPr>
    </w:p>
    <w:p w:rsidR="001339D4" w:rsidRPr="00CC51E2" w:rsidRDefault="001339D4" w:rsidP="00580F2D">
      <w:pPr>
        <w:pStyle w:val="Prrafodelista"/>
        <w:ind w:left="708" w:hanging="282"/>
        <w:jc w:val="center"/>
        <w:rPr>
          <w:rFonts w:ascii="Arial" w:hAnsi="Arial" w:cs="Arial"/>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B92476" w:rsidRPr="00CC51E2" w:rsidRDefault="00E97979" w:rsidP="00206A8B">
      <w:pPr>
        <w:jc w:val="center"/>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59264" behindDoc="1" locked="0" layoutInCell="1" allowOverlap="1" wp14:anchorId="64F61DB4" wp14:editId="50DE6D76">
            <wp:simplePos x="0" y="0"/>
            <wp:positionH relativeFrom="column">
              <wp:posOffset>72390</wp:posOffset>
            </wp:positionH>
            <wp:positionV relativeFrom="paragraph">
              <wp:posOffset>229236</wp:posOffset>
            </wp:positionV>
            <wp:extent cx="5819775" cy="28765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22315" cy="2877805"/>
                    </a:xfrm>
                    <a:prstGeom prst="rect">
                      <a:avLst/>
                    </a:prstGeom>
                    <a:noFill/>
                  </pic:spPr>
                </pic:pic>
              </a:graphicData>
            </a:graphic>
            <wp14:sizeRelH relativeFrom="page">
              <wp14:pctWidth>0</wp14:pctWidth>
            </wp14:sizeRelH>
            <wp14:sizeRelV relativeFrom="page">
              <wp14:pctHeight>0</wp14:pctHeight>
            </wp14:sizeRelV>
          </wp:anchor>
        </w:drawing>
      </w:r>
      <w:r w:rsidR="00507A27" w:rsidRPr="00CC51E2">
        <w:rPr>
          <w:rFonts w:ascii="Arial" w:hAnsi="Arial" w:cs="Arial"/>
          <w:b/>
          <w:sz w:val="20"/>
          <w:szCs w:val="20"/>
        </w:rPr>
        <w:t>Gráfico No. 1</w:t>
      </w:r>
    </w:p>
    <w:p w:rsidR="00183397" w:rsidRPr="00CC51E2" w:rsidRDefault="00183397" w:rsidP="00507A27">
      <w:pPr>
        <w:pStyle w:val="Prrafodelista"/>
        <w:ind w:left="426"/>
        <w:jc w:val="center"/>
        <w:rPr>
          <w:rFonts w:ascii="Arial" w:hAnsi="Arial" w:cs="Arial"/>
          <w:b/>
          <w:sz w:val="20"/>
          <w:szCs w:val="20"/>
        </w:rPr>
      </w:pPr>
    </w:p>
    <w:p w:rsidR="00B92476" w:rsidRPr="00CC51E2" w:rsidRDefault="00B92476" w:rsidP="005036BE">
      <w:pPr>
        <w:spacing w:after="0" w:line="312" w:lineRule="auto"/>
        <w:ind w:left="360"/>
        <w:jc w:val="center"/>
        <w:rPr>
          <w:rFonts w:ascii="Arial" w:hAnsi="Arial" w:cs="Arial"/>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183397" w:rsidRPr="00CC51E2" w:rsidRDefault="00183397" w:rsidP="005036BE">
      <w:pPr>
        <w:spacing w:after="0" w:line="312" w:lineRule="auto"/>
        <w:ind w:left="360"/>
        <w:jc w:val="center"/>
        <w:rPr>
          <w:rFonts w:ascii="Arial" w:hAnsi="Arial" w:cs="Arial"/>
          <w:b/>
          <w:sz w:val="20"/>
          <w:szCs w:val="20"/>
        </w:rPr>
      </w:pPr>
      <w:r w:rsidRPr="00CC51E2">
        <w:rPr>
          <w:rFonts w:ascii="Arial" w:hAnsi="Arial" w:cs="Arial"/>
          <w:b/>
          <w:sz w:val="20"/>
          <w:szCs w:val="20"/>
        </w:rPr>
        <w:t>Gráfico No. 2.</w:t>
      </w: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1F6309" w:rsidRPr="00CC51E2" w:rsidRDefault="00520967" w:rsidP="00E97979">
      <w:pPr>
        <w:spacing w:after="0" w:line="312" w:lineRule="auto"/>
        <w:jc w:val="both"/>
        <w:rPr>
          <w:rFonts w:ascii="Arial" w:hAnsi="Arial" w:cs="Arial"/>
          <w:sz w:val="20"/>
          <w:szCs w:val="20"/>
        </w:rPr>
      </w:pPr>
      <w:r w:rsidRPr="00CC51E2">
        <w:rPr>
          <w:rFonts w:ascii="Arial" w:hAnsi="Arial" w:cs="Arial"/>
          <w:sz w:val="20"/>
          <w:szCs w:val="20"/>
        </w:rPr>
        <w:t>Con lo anterior se evidencia que el Plan de Acción formulado</w:t>
      </w:r>
      <w:r w:rsidR="00642127" w:rsidRPr="00CC51E2">
        <w:rPr>
          <w:rFonts w:ascii="Arial" w:hAnsi="Arial" w:cs="Arial"/>
          <w:sz w:val="20"/>
          <w:szCs w:val="20"/>
        </w:rPr>
        <w:t xml:space="preserve"> para el proceso</w:t>
      </w:r>
      <w:r w:rsidR="008944C6" w:rsidRPr="00CC51E2">
        <w:rPr>
          <w:rFonts w:ascii="Arial" w:hAnsi="Arial" w:cs="Arial"/>
          <w:sz w:val="20"/>
          <w:szCs w:val="20"/>
        </w:rPr>
        <w:t xml:space="preserve"> </w:t>
      </w:r>
      <w:r w:rsidR="00032105" w:rsidRPr="00CC51E2">
        <w:rPr>
          <w:rFonts w:ascii="Arial" w:hAnsi="Arial" w:cs="Arial"/>
          <w:sz w:val="20"/>
          <w:szCs w:val="20"/>
        </w:rPr>
        <w:t xml:space="preserve">tiene un </w:t>
      </w:r>
      <w:r w:rsidRPr="00CC51E2">
        <w:rPr>
          <w:rFonts w:ascii="Arial" w:hAnsi="Arial" w:cs="Arial"/>
          <w:sz w:val="20"/>
          <w:szCs w:val="20"/>
        </w:rPr>
        <w:t xml:space="preserve">avance </w:t>
      </w:r>
      <w:r w:rsidR="00032105" w:rsidRPr="00CC51E2">
        <w:rPr>
          <w:rFonts w:ascii="Arial" w:hAnsi="Arial" w:cs="Arial"/>
          <w:sz w:val="20"/>
          <w:szCs w:val="20"/>
        </w:rPr>
        <w:t>del</w:t>
      </w:r>
      <w:r w:rsidR="00E97979" w:rsidRPr="00CC51E2">
        <w:rPr>
          <w:rFonts w:ascii="Arial" w:hAnsi="Arial" w:cs="Arial"/>
          <w:sz w:val="20"/>
          <w:szCs w:val="20"/>
        </w:rPr>
        <w:t xml:space="preserve"> 81</w:t>
      </w:r>
      <w:r w:rsidRPr="00CC51E2">
        <w:rPr>
          <w:rFonts w:ascii="Arial" w:hAnsi="Arial" w:cs="Arial"/>
          <w:sz w:val="20"/>
          <w:szCs w:val="20"/>
        </w:rPr>
        <w:t xml:space="preserve">% de </w:t>
      </w:r>
      <w:r w:rsidR="006C7E39" w:rsidRPr="00CC51E2">
        <w:rPr>
          <w:rFonts w:ascii="Arial" w:hAnsi="Arial" w:cs="Arial"/>
          <w:sz w:val="20"/>
          <w:szCs w:val="20"/>
        </w:rPr>
        <w:t>acuerdo</w:t>
      </w:r>
      <w:r w:rsidRPr="00CC51E2">
        <w:rPr>
          <w:rFonts w:ascii="Arial" w:hAnsi="Arial" w:cs="Arial"/>
          <w:sz w:val="20"/>
          <w:szCs w:val="20"/>
        </w:rPr>
        <w:t xml:space="preserve"> con el Gráfico No. 2</w:t>
      </w:r>
      <w:r w:rsidR="00032105" w:rsidRPr="00CC51E2">
        <w:rPr>
          <w:rFonts w:ascii="Arial" w:hAnsi="Arial" w:cs="Arial"/>
          <w:sz w:val="20"/>
          <w:szCs w:val="20"/>
        </w:rPr>
        <w:t>. L</w:t>
      </w:r>
      <w:r w:rsidR="00642127" w:rsidRPr="00CC51E2">
        <w:rPr>
          <w:rFonts w:ascii="Arial" w:hAnsi="Arial" w:cs="Arial"/>
          <w:sz w:val="20"/>
          <w:szCs w:val="20"/>
        </w:rPr>
        <w:t xml:space="preserve">as actividades que se destacan </w:t>
      </w:r>
      <w:r w:rsidR="00032105" w:rsidRPr="00CC51E2">
        <w:rPr>
          <w:rFonts w:ascii="Arial" w:hAnsi="Arial" w:cs="Arial"/>
          <w:sz w:val="20"/>
          <w:szCs w:val="20"/>
        </w:rPr>
        <w:t xml:space="preserve">en el </w:t>
      </w:r>
      <w:r w:rsidR="00E97979" w:rsidRPr="00CC51E2">
        <w:rPr>
          <w:rFonts w:ascii="Arial" w:hAnsi="Arial" w:cs="Arial"/>
          <w:sz w:val="20"/>
          <w:szCs w:val="20"/>
        </w:rPr>
        <w:t>tercer tri</w:t>
      </w:r>
      <w:r w:rsidR="00032105" w:rsidRPr="00CC51E2">
        <w:rPr>
          <w:rFonts w:ascii="Arial" w:hAnsi="Arial" w:cs="Arial"/>
          <w:sz w:val="20"/>
          <w:szCs w:val="20"/>
        </w:rPr>
        <w:t xml:space="preserve">mestre </w:t>
      </w:r>
      <w:r w:rsidR="00642127" w:rsidRPr="00CC51E2">
        <w:rPr>
          <w:rFonts w:ascii="Arial" w:hAnsi="Arial" w:cs="Arial"/>
          <w:sz w:val="20"/>
          <w:szCs w:val="20"/>
        </w:rPr>
        <w:t xml:space="preserve">de 2017 fueron presentadas ante el Comité Directivo </w:t>
      </w:r>
      <w:r w:rsidR="006C7E39" w:rsidRPr="00CC51E2">
        <w:rPr>
          <w:rFonts w:ascii="Arial" w:hAnsi="Arial" w:cs="Arial"/>
          <w:sz w:val="20"/>
          <w:szCs w:val="20"/>
        </w:rPr>
        <w:t>dando paso a gestionar la actividad de la actualización e implementación de la documentación del proceso.</w:t>
      </w:r>
    </w:p>
    <w:p w:rsidR="00642127" w:rsidRPr="00CC51E2" w:rsidRDefault="00642127" w:rsidP="00642127">
      <w:pPr>
        <w:pStyle w:val="Prrafodelista"/>
        <w:spacing w:after="0" w:line="312" w:lineRule="auto"/>
        <w:ind w:left="357"/>
        <w:jc w:val="both"/>
        <w:rPr>
          <w:rFonts w:ascii="Arial" w:hAnsi="Arial" w:cs="Arial"/>
          <w:sz w:val="20"/>
          <w:szCs w:val="20"/>
        </w:rPr>
      </w:pPr>
    </w:p>
    <w:p w:rsidR="005856C3" w:rsidRPr="00CC51E2" w:rsidRDefault="00642127" w:rsidP="00AA3F57">
      <w:pPr>
        <w:spacing w:after="0" w:line="312" w:lineRule="auto"/>
        <w:jc w:val="both"/>
        <w:rPr>
          <w:rFonts w:ascii="Arial" w:hAnsi="Arial" w:cs="Arial"/>
          <w:sz w:val="20"/>
          <w:szCs w:val="20"/>
        </w:rPr>
      </w:pPr>
      <w:r w:rsidRPr="00CC51E2">
        <w:rPr>
          <w:rFonts w:ascii="Arial" w:hAnsi="Arial" w:cs="Arial"/>
          <w:sz w:val="20"/>
          <w:szCs w:val="20"/>
        </w:rPr>
        <w:t xml:space="preserve">Con respecto a la </w:t>
      </w:r>
      <w:r w:rsidR="00032105" w:rsidRPr="00CC51E2">
        <w:rPr>
          <w:rFonts w:ascii="Arial" w:hAnsi="Arial" w:cs="Arial"/>
          <w:b/>
          <w:sz w:val="20"/>
          <w:szCs w:val="20"/>
        </w:rPr>
        <w:t>Ge</w:t>
      </w:r>
      <w:r w:rsidRPr="00CC51E2">
        <w:rPr>
          <w:rFonts w:ascii="Arial" w:hAnsi="Arial" w:cs="Arial"/>
          <w:b/>
          <w:sz w:val="20"/>
          <w:szCs w:val="20"/>
        </w:rPr>
        <w:t xml:space="preserve">stión del </w:t>
      </w:r>
      <w:r w:rsidR="005856C3" w:rsidRPr="00CC51E2">
        <w:rPr>
          <w:rFonts w:ascii="Arial" w:hAnsi="Arial" w:cs="Arial"/>
          <w:b/>
          <w:sz w:val="20"/>
          <w:szCs w:val="20"/>
        </w:rPr>
        <w:t>Plan de C</w:t>
      </w:r>
      <w:r w:rsidRPr="00CC51E2">
        <w:rPr>
          <w:rFonts w:ascii="Arial" w:hAnsi="Arial" w:cs="Arial"/>
          <w:b/>
          <w:sz w:val="20"/>
          <w:szCs w:val="20"/>
        </w:rPr>
        <w:t>apacitación, as</w:t>
      </w:r>
      <w:r w:rsidR="005856C3" w:rsidRPr="00CC51E2">
        <w:rPr>
          <w:rFonts w:ascii="Arial" w:hAnsi="Arial" w:cs="Arial"/>
          <w:b/>
          <w:sz w:val="20"/>
          <w:szCs w:val="20"/>
        </w:rPr>
        <w:t>í como el de B</w:t>
      </w:r>
      <w:r w:rsidRPr="00CC51E2">
        <w:rPr>
          <w:rFonts w:ascii="Arial" w:hAnsi="Arial" w:cs="Arial"/>
          <w:b/>
          <w:sz w:val="20"/>
          <w:szCs w:val="20"/>
        </w:rPr>
        <w:t xml:space="preserve">ienestar </w:t>
      </w:r>
      <w:r w:rsidR="005856C3" w:rsidRPr="00CC51E2">
        <w:rPr>
          <w:rFonts w:ascii="Arial" w:hAnsi="Arial" w:cs="Arial"/>
          <w:b/>
          <w:sz w:val="20"/>
          <w:szCs w:val="20"/>
        </w:rPr>
        <w:t>I</w:t>
      </w:r>
      <w:r w:rsidRPr="00CC51E2">
        <w:rPr>
          <w:rFonts w:ascii="Arial" w:hAnsi="Arial" w:cs="Arial"/>
          <w:b/>
          <w:sz w:val="20"/>
          <w:szCs w:val="20"/>
        </w:rPr>
        <w:t>nstitucional</w:t>
      </w:r>
      <w:r w:rsidRPr="00CC51E2">
        <w:rPr>
          <w:rFonts w:ascii="Arial" w:hAnsi="Arial" w:cs="Arial"/>
          <w:sz w:val="20"/>
          <w:szCs w:val="20"/>
        </w:rPr>
        <w:t xml:space="preserve">, se </w:t>
      </w:r>
      <w:r w:rsidR="00032105" w:rsidRPr="00CC51E2">
        <w:rPr>
          <w:rFonts w:ascii="Arial" w:hAnsi="Arial" w:cs="Arial"/>
          <w:sz w:val="20"/>
          <w:szCs w:val="20"/>
        </w:rPr>
        <w:t xml:space="preserve">señala </w:t>
      </w:r>
      <w:r w:rsidRPr="00CC51E2">
        <w:rPr>
          <w:rFonts w:ascii="Arial" w:hAnsi="Arial" w:cs="Arial"/>
          <w:sz w:val="20"/>
          <w:szCs w:val="20"/>
        </w:rPr>
        <w:t xml:space="preserve">que se ha </w:t>
      </w:r>
      <w:r w:rsidR="00B6422A" w:rsidRPr="00CC51E2">
        <w:rPr>
          <w:rFonts w:ascii="Arial" w:hAnsi="Arial" w:cs="Arial"/>
          <w:sz w:val="20"/>
          <w:szCs w:val="20"/>
        </w:rPr>
        <w:t>finalizado</w:t>
      </w:r>
      <w:r w:rsidRPr="00CC51E2">
        <w:rPr>
          <w:rFonts w:ascii="Arial" w:hAnsi="Arial" w:cs="Arial"/>
          <w:sz w:val="20"/>
          <w:szCs w:val="20"/>
        </w:rPr>
        <w:t xml:space="preserve"> con la etapa precontractual y se está estructurando cronograma para la ejecución de l</w:t>
      </w:r>
      <w:r w:rsidR="005613C1" w:rsidRPr="00CC51E2">
        <w:rPr>
          <w:rFonts w:ascii="Arial" w:hAnsi="Arial" w:cs="Arial"/>
          <w:sz w:val="20"/>
          <w:szCs w:val="20"/>
        </w:rPr>
        <w:t>as actividades programadas para la presente vigencia</w:t>
      </w:r>
      <w:r w:rsidR="00032105" w:rsidRPr="00CC51E2">
        <w:rPr>
          <w:rFonts w:ascii="Arial" w:hAnsi="Arial" w:cs="Arial"/>
          <w:sz w:val="20"/>
          <w:szCs w:val="20"/>
        </w:rPr>
        <w:t xml:space="preserve">. En el caso de capacitación </w:t>
      </w:r>
      <w:r w:rsidR="00471602" w:rsidRPr="00CC51E2">
        <w:rPr>
          <w:rFonts w:ascii="Arial" w:hAnsi="Arial" w:cs="Arial"/>
          <w:sz w:val="20"/>
          <w:szCs w:val="20"/>
        </w:rPr>
        <w:t xml:space="preserve">con la Universidad Distrital Francisco José de Caldas y </w:t>
      </w:r>
      <w:r w:rsidR="00032105" w:rsidRPr="00CC51E2">
        <w:rPr>
          <w:rFonts w:ascii="Arial" w:hAnsi="Arial" w:cs="Arial"/>
          <w:sz w:val="20"/>
          <w:szCs w:val="20"/>
        </w:rPr>
        <w:t xml:space="preserve">Bienestar Laboral </w:t>
      </w:r>
      <w:r w:rsidR="00471602" w:rsidRPr="00CC51E2">
        <w:rPr>
          <w:rFonts w:ascii="Arial" w:hAnsi="Arial" w:cs="Arial"/>
          <w:sz w:val="20"/>
          <w:szCs w:val="20"/>
        </w:rPr>
        <w:t xml:space="preserve">con la Caja de </w:t>
      </w:r>
      <w:r w:rsidR="004546F2" w:rsidRPr="00CC51E2">
        <w:rPr>
          <w:rFonts w:ascii="Arial" w:hAnsi="Arial" w:cs="Arial"/>
          <w:sz w:val="20"/>
          <w:szCs w:val="20"/>
        </w:rPr>
        <w:t>C</w:t>
      </w:r>
      <w:r w:rsidR="00471602" w:rsidRPr="00CC51E2">
        <w:rPr>
          <w:rFonts w:ascii="Arial" w:hAnsi="Arial" w:cs="Arial"/>
          <w:sz w:val="20"/>
          <w:szCs w:val="20"/>
        </w:rPr>
        <w:t xml:space="preserve">ompensación Familiar </w:t>
      </w:r>
      <w:r w:rsidR="00471602" w:rsidRPr="00CC51E2">
        <w:rPr>
          <w:rFonts w:ascii="Arial" w:hAnsi="Arial" w:cs="Arial"/>
          <w:sz w:val="20"/>
          <w:szCs w:val="20"/>
        </w:rPr>
        <w:lastRenderedPageBreak/>
        <w:t>COMPENSAR</w:t>
      </w:r>
      <w:r w:rsidR="005613C1" w:rsidRPr="00CC51E2">
        <w:rPr>
          <w:rFonts w:ascii="Arial" w:hAnsi="Arial" w:cs="Arial"/>
          <w:sz w:val="20"/>
          <w:szCs w:val="20"/>
        </w:rPr>
        <w:t xml:space="preserve">. Se </w:t>
      </w:r>
      <w:r w:rsidR="005856C3" w:rsidRPr="00CC51E2">
        <w:rPr>
          <w:rFonts w:ascii="Arial" w:hAnsi="Arial" w:cs="Arial"/>
          <w:sz w:val="20"/>
          <w:szCs w:val="20"/>
        </w:rPr>
        <w:t>han realizado diferentes actividades en el marco de los contratos que se venían ejecutando de la vigencia pasada:</w:t>
      </w:r>
    </w:p>
    <w:p w:rsidR="005856C3" w:rsidRPr="00CC51E2" w:rsidRDefault="005856C3" w:rsidP="00642127">
      <w:pPr>
        <w:pStyle w:val="Prrafodelista"/>
        <w:spacing w:after="0" w:line="312" w:lineRule="auto"/>
        <w:ind w:left="357"/>
        <w:jc w:val="both"/>
        <w:rPr>
          <w:rFonts w:ascii="Arial" w:hAnsi="Arial" w:cs="Arial"/>
          <w:sz w:val="20"/>
          <w:szCs w:val="20"/>
        </w:rPr>
      </w:pPr>
    </w:p>
    <w:p w:rsidR="005856C3" w:rsidRPr="00CC51E2" w:rsidRDefault="00C72E13"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b/>
          <w:sz w:val="20"/>
          <w:szCs w:val="20"/>
        </w:rPr>
        <w:t>Bienestar I</w:t>
      </w:r>
      <w:r w:rsidR="005856C3" w:rsidRPr="00CC51E2">
        <w:rPr>
          <w:rFonts w:ascii="Arial" w:hAnsi="Arial" w:cs="Arial"/>
          <w:b/>
          <w:sz w:val="20"/>
          <w:szCs w:val="20"/>
        </w:rPr>
        <w:t>nstitucional</w:t>
      </w:r>
      <w:r w:rsidR="005856C3" w:rsidRPr="00CC51E2">
        <w:rPr>
          <w:rFonts w:ascii="Arial" w:hAnsi="Arial" w:cs="Arial"/>
          <w:sz w:val="20"/>
          <w:szCs w:val="20"/>
        </w:rPr>
        <w:t>:</w:t>
      </w:r>
    </w:p>
    <w:p w:rsidR="005856C3" w:rsidRPr="00CC51E2" w:rsidRDefault="005856C3" w:rsidP="005856C3">
      <w:pPr>
        <w:pStyle w:val="Prrafodelista"/>
        <w:spacing w:after="0" w:line="312" w:lineRule="auto"/>
        <w:ind w:left="360"/>
        <w:jc w:val="both"/>
        <w:rPr>
          <w:rFonts w:ascii="Arial" w:hAnsi="Arial" w:cs="Arial"/>
          <w:sz w:val="20"/>
          <w:szCs w:val="20"/>
        </w:rPr>
      </w:pP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 xml:space="preserve">Celebración día de la </w:t>
      </w:r>
      <w:r w:rsidR="000935F5" w:rsidRPr="00CC51E2">
        <w:rPr>
          <w:rFonts w:ascii="Arial" w:hAnsi="Arial" w:cs="Arial"/>
          <w:sz w:val="20"/>
          <w:szCs w:val="20"/>
        </w:rPr>
        <w:t>secretaria</w:t>
      </w: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de día de la madre.</w:t>
      </w: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del día de la mujer</w:t>
      </w:r>
    </w:p>
    <w:p w:rsidR="00AA3F57" w:rsidRPr="00CC51E2" w:rsidRDefault="00AA3F57"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día de los niños</w:t>
      </w:r>
    </w:p>
    <w:p w:rsidR="00AA3F57" w:rsidRPr="00CC51E2" w:rsidRDefault="00AA3F57"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Caminata Ecológica</w:t>
      </w:r>
    </w:p>
    <w:p w:rsidR="00C72E13" w:rsidRPr="00CC51E2" w:rsidRDefault="00C72E13" w:rsidP="00C72E13">
      <w:pPr>
        <w:pStyle w:val="Prrafodelista"/>
        <w:spacing w:after="0" w:line="312" w:lineRule="auto"/>
        <w:ind w:left="1080"/>
        <w:jc w:val="both"/>
        <w:rPr>
          <w:rFonts w:ascii="Arial" w:hAnsi="Arial" w:cs="Arial"/>
          <w:sz w:val="20"/>
          <w:szCs w:val="20"/>
        </w:rPr>
      </w:pPr>
    </w:p>
    <w:p w:rsidR="005856C3" w:rsidRPr="00CC51E2" w:rsidRDefault="00C72E13"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b/>
          <w:sz w:val="20"/>
          <w:szCs w:val="20"/>
        </w:rPr>
        <w:t>Capacitación</w:t>
      </w:r>
      <w:r w:rsidRPr="00CC51E2">
        <w:rPr>
          <w:rFonts w:ascii="Arial" w:hAnsi="Arial" w:cs="Arial"/>
          <w:sz w:val="20"/>
          <w:szCs w:val="20"/>
        </w:rPr>
        <w:t>:</w:t>
      </w:r>
    </w:p>
    <w:p w:rsidR="00E31687" w:rsidRPr="00CC51E2" w:rsidRDefault="00E31687" w:rsidP="00E31687">
      <w:pPr>
        <w:pStyle w:val="Prrafodelista"/>
        <w:spacing w:after="0" w:line="312" w:lineRule="auto"/>
        <w:ind w:left="360"/>
        <w:jc w:val="both"/>
        <w:rPr>
          <w:rFonts w:ascii="Arial" w:hAnsi="Arial" w:cs="Arial"/>
          <w:sz w:val="20"/>
          <w:szCs w:val="20"/>
        </w:rPr>
      </w:pPr>
    </w:p>
    <w:p w:rsidR="00BF1482" w:rsidRPr="00CC51E2" w:rsidRDefault="000935F5" w:rsidP="0057468E">
      <w:pPr>
        <w:pStyle w:val="Prrafodelista"/>
        <w:numPr>
          <w:ilvl w:val="0"/>
          <w:numId w:val="5"/>
        </w:numPr>
        <w:spacing w:after="0" w:line="312" w:lineRule="auto"/>
        <w:jc w:val="both"/>
        <w:rPr>
          <w:rFonts w:ascii="Arial" w:hAnsi="Arial" w:cs="Arial"/>
          <w:sz w:val="20"/>
          <w:szCs w:val="20"/>
        </w:rPr>
      </w:pPr>
      <w:r w:rsidRPr="00CC51E2">
        <w:rPr>
          <w:rFonts w:ascii="Arial" w:hAnsi="Arial" w:cs="Arial"/>
          <w:sz w:val="20"/>
          <w:szCs w:val="20"/>
        </w:rPr>
        <w:t>Se</w:t>
      </w:r>
      <w:r w:rsidR="00BF1482" w:rsidRPr="00CC51E2">
        <w:rPr>
          <w:rFonts w:ascii="Arial" w:hAnsi="Arial" w:cs="Arial"/>
          <w:sz w:val="20"/>
          <w:szCs w:val="20"/>
        </w:rPr>
        <w:t xml:space="preserve"> realizaron capacitaciones a través del Servicio Nacional de Aprendizaje (SENA) en: Comunicación Asertiva enfocada a trabajo en Equipo y Liderazgo y en Aplicación de Normas y Reglas Ortográficas en Redacción de Documentos Empresariales.</w:t>
      </w:r>
    </w:p>
    <w:p w:rsidR="00642127" w:rsidRPr="00CC51E2" w:rsidRDefault="00642127"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 </w:t>
      </w:r>
    </w:p>
    <w:p w:rsidR="000F4227" w:rsidRPr="00CC51E2" w:rsidRDefault="000F4227"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De acuerdo con la actividad de</w:t>
      </w:r>
      <w:r w:rsidR="00AF723E" w:rsidRPr="00CC51E2">
        <w:rPr>
          <w:rFonts w:ascii="Arial" w:hAnsi="Arial" w:cs="Arial"/>
          <w:sz w:val="20"/>
          <w:szCs w:val="20"/>
        </w:rPr>
        <w:t xml:space="preserve"> </w:t>
      </w:r>
      <w:r w:rsidR="00AF723E" w:rsidRPr="00CC51E2">
        <w:rPr>
          <w:rFonts w:ascii="Arial" w:hAnsi="Arial" w:cs="Arial"/>
          <w:b/>
          <w:sz w:val="20"/>
          <w:szCs w:val="20"/>
        </w:rPr>
        <w:t>Implementación de las nuevas Metodologías de Evaluación de los Servidores Públicos</w:t>
      </w:r>
      <w:r w:rsidR="00AF723E" w:rsidRPr="00CC51E2">
        <w:rPr>
          <w:rFonts w:ascii="Arial" w:hAnsi="Arial" w:cs="Arial"/>
          <w:sz w:val="20"/>
          <w:szCs w:val="20"/>
        </w:rPr>
        <w:t>, se destaca que se adopt</w:t>
      </w:r>
      <w:r w:rsidR="0068023C" w:rsidRPr="00CC51E2">
        <w:rPr>
          <w:rFonts w:ascii="Arial" w:hAnsi="Arial" w:cs="Arial"/>
          <w:sz w:val="20"/>
          <w:szCs w:val="20"/>
        </w:rPr>
        <w:t>aron</w:t>
      </w:r>
      <w:r w:rsidR="00AF723E" w:rsidRPr="00CC51E2">
        <w:rPr>
          <w:rFonts w:ascii="Arial" w:hAnsi="Arial" w:cs="Arial"/>
          <w:sz w:val="20"/>
          <w:szCs w:val="20"/>
        </w:rPr>
        <w:t xml:space="preserve"> dichos sistemas para todo el tipo de vinculación de los funcionarios de la Caja de la Vivienda Popular (Carrera Administrativa, Provisionales, Planta Temporal y Nivel Directivo</w:t>
      </w:r>
      <w:r w:rsidR="008F33B1" w:rsidRPr="00CC51E2">
        <w:rPr>
          <w:rFonts w:ascii="Arial" w:hAnsi="Arial" w:cs="Arial"/>
          <w:sz w:val="20"/>
          <w:szCs w:val="20"/>
        </w:rPr>
        <w:t xml:space="preserve"> o de Libre Nombramiento y Remoción</w:t>
      </w:r>
      <w:r w:rsidR="00AF723E" w:rsidRPr="00CC51E2">
        <w:rPr>
          <w:rFonts w:ascii="Arial" w:hAnsi="Arial" w:cs="Arial"/>
          <w:sz w:val="20"/>
          <w:szCs w:val="20"/>
        </w:rPr>
        <w:t>)</w:t>
      </w:r>
      <w:r w:rsidR="0068023C" w:rsidRPr="00CC51E2">
        <w:rPr>
          <w:rFonts w:ascii="Arial" w:hAnsi="Arial" w:cs="Arial"/>
          <w:sz w:val="20"/>
          <w:szCs w:val="20"/>
        </w:rPr>
        <w:t xml:space="preserve"> dando cumplimiento a los lineamientos impartidos por el Departamento Administrativo del Servicio Civil</w:t>
      </w:r>
      <w:r w:rsidR="005C01C7" w:rsidRPr="00CC51E2">
        <w:rPr>
          <w:rFonts w:ascii="Arial" w:hAnsi="Arial" w:cs="Arial"/>
          <w:sz w:val="20"/>
          <w:szCs w:val="20"/>
        </w:rPr>
        <w:t xml:space="preserve"> (DASC)</w:t>
      </w:r>
      <w:r w:rsidR="0068023C" w:rsidRPr="00CC51E2">
        <w:rPr>
          <w:rFonts w:ascii="Arial" w:hAnsi="Arial" w:cs="Arial"/>
          <w:sz w:val="20"/>
          <w:szCs w:val="20"/>
        </w:rPr>
        <w:t>.</w:t>
      </w:r>
      <w:r w:rsidR="005C01C7" w:rsidRPr="00CC51E2">
        <w:rPr>
          <w:rFonts w:ascii="Arial" w:hAnsi="Arial" w:cs="Arial"/>
          <w:sz w:val="20"/>
          <w:szCs w:val="20"/>
        </w:rPr>
        <w:t xml:space="preserve"> Así mismo se gestionó el enlace con el DASC para que </w:t>
      </w:r>
      <w:r w:rsidR="008C0B87" w:rsidRPr="00CC51E2">
        <w:rPr>
          <w:rFonts w:ascii="Arial" w:hAnsi="Arial" w:cs="Arial"/>
          <w:sz w:val="20"/>
          <w:szCs w:val="20"/>
        </w:rPr>
        <w:t>é</w:t>
      </w:r>
      <w:r w:rsidR="005C01C7" w:rsidRPr="00CC51E2">
        <w:rPr>
          <w:rFonts w:ascii="Arial" w:hAnsi="Arial" w:cs="Arial"/>
          <w:sz w:val="20"/>
          <w:szCs w:val="20"/>
        </w:rPr>
        <w:t>l mismo impartiera capacitación frente a dichas implementaciones, a la cual asistieron los funcionarios de la Caja de la Vivienda Popular.</w:t>
      </w:r>
    </w:p>
    <w:p w:rsidR="00BD189C" w:rsidRPr="00CC51E2" w:rsidRDefault="00BD189C" w:rsidP="00642127">
      <w:pPr>
        <w:pStyle w:val="Prrafodelista"/>
        <w:spacing w:after="0" w:line="312" w:lineRule="auto"/>
        <w:ind w:left="357"/>
        <w:jc w:val="both"/>
        <w:rPr>
          <w:rFonts w:ascii="Arial" w:hAnsi="Arial" w:cs="Arial"/>
          <w:sz w:val="20"/>
          <w:szCs w:val="20"/>
        </w:rPr>
      </w:pPr>
    </w:p>
    <w:p w:rsidR="00BD189C" w:rsidRPr="00CC51E2" w:rsidRDefault="002564B9"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el marco del </w:t>
      </w:r>
      <w:r w:rsidRPr="00CC51E2">
        <w:rPr>
          <w:rFonts w:ascii="Arial" w:hAnsi="Arial" w:cs="Arial"/>
          <w:b/>
          <w:sz w:val="20"/>
          <w:szCs w:val="20"/>
        </w:rPr>
        <w:t xml:space="preserve">Sistema de Gestión </w:t>
      </w:r>
      <w:r w:rsidR="00693DE6" w:rsidRPr="00CC51E2">
        <w:rPr>
          <w:rFonts w:ascii="Arial" w:hAnsi="Arial" w:cs="Arial"/>
          <w:b/>
          <w:sz w:val="20"/>
          <w:szCs w:val="20"/>
        </w:rPr>
        <w:t xml:space="preserve">de </w:t>
      </w:r>
      <w:r w:rsidRPr="00CC51E2">
        <w:rPr>
          <w:rFonts w:ascii="Arial" w:hAnsi="Arial" w:cs="Arial"/>
          <w:b/>
          <w:sz w:val="20"/>
          <w:szCs w:val="20"/>
        </w:rPr>
        <w:t>Seguridad y Salud en el Trabajo SG-SST y su actualización</w:t>
      </w:r>
      <w:r w:rsidR="00693DE6" w:rsidRPr="00CC51E2">
        <w:rPr>
          <w:rFonts w:ascii="Arial" w:hAnsi="Arial" w:cs="Arial"/>
          <w:b/>
          <w:sz w:val="20"/>
          <w:szCs w:val="20"/>
        </w:rPr>
        <w:t xml:space="preserve"> </w:t>
      </w:r>
      <w:r w:rsidR="00693DE6" w:rsidRPr="00CC51E2">
        <w:rPr>
          <w:rFonts w:ascii="Arial" w:hAnsi="Arial" w:cs="Arial"/>
          <w:sz w:val="20"/>
          <w:szCs w:val="20"/>
        </w:rPr>
        <w:t xml:space="preserve">se destaca la intervención realizada de acuerdo con los resultados de la batería </w:t>
      </w:r>
      <w:r w:rsidR="00422902" w:rsidRPr="00CC51E2">
        <w:rPr>
          <w:rFonts w:ascii="Arial" w:hAnsi="Arial" w:cs="Arial"/>
          <w:sz w:val="20"/>
          <w:szCs w:val="20"/>
        </w:rPr>
        <w:t xml:space="preserve">de </w:t>
      </w:r>
      <w:r w:rsidR="00693DE6" w:rsidRPr="00CC51E2">
        <w:rPr>
          <w:rFonts w:ascii="Arial" w:hAnsi="Arial" w:cs="Arial"/>
          <w:sz w:val="20"/>
          <w:szCs w:val="20"/>
        </w:rPr>
        <w:t xml:space="preserve">riesgo psicosocial realizada en el 2016 de acuerdo a los lineamientos establecidos en la Resolución 2646 de 2008 expedida por el Ministerio de Trabajo, en </w:t>
      </w:r>
      <w:r w:rsidR="00AA3F57" w:rsidRPr="00CC51E2">
        <w:rPr>
          <w:rFonts w:ascii="Arial" w:hAnsi="Arial" w:cs="Arial"/>
          <w:sz w:val="20"/>
          <w:szCs w:val="20"/>
        </w:rPr>
        <w:t>el tercer tri</w:t>
      </w:r>
      <w:r w:rsidR="00693DE6" w:rsidRPr="00CC51E2">
        <w:rPr>
          <w:rFonts w:ascii="Arial" w:hAnsi="Arial" w:cs="Arial"/>
          <w:sz w:val="20"/>
          <w:szCs w:val="20"/>
        </w:rPr>
        <w:t xml:space="preserve">mestre de 2017 se solicitó a la Administradora de Riesgos Laborales (ARL) </w:t>
      </w:r>
      <w:r w:rsidR="00422902" w:rsidRPr="00CC51E2">
        <w:rPr>
          <w:rFonts w:ascii="Arial" w:hAnsi="Arial" w:cs="Arial"/>
          <w:sz w:val="20"/>
          <w:szCs w:val="20"/>
        </w:rPr>
        <w:t>Positiva</w:t>
      </w:r>
      <w:r w:rsidR="00693DE6" w:rsidRPr="00CC51E2">
        <w:rPr>
          <w:rFonts w:ascii="Arial" w:hAnsi="Arial" w:cs="Arial"/>
          <w:sz w:val="20"/>
          <w:szCs w:val="20"/>
        </w:rPr>
        <w:t xml:space="preserve">, un plan de intervención a los resultados de dicha batería, los cuales se están realizando a través de una psicóloga con especialización en salud ocupacional, llevando a cabo pausas mentales y capacitación por cada una de las áreas de la Entidad, producto de ello es que se ha logrado realizar pausas mentales a un 80% de los funcionarios y contratistas, en aras a que se desconecten de las actividades que están realizando y al </w:t>
      </w:r>
      <w:r w:rsidR="00422902" w:rsidRPr="00CC51E2">
        <w:rPr>
          <w:rFonts w:ascii="Arial" w:hAnsi="Arial" w:cs="Arial"/>
          <w:sz w:val="20"/>
          <w:szCs w:val="20"/>
        </w:rPr>
        <w:t>retornar a</w:t>
      </w:r>
      <w:r w:rsidR="00693DE6" w:rsidRPr="00CC51E2">
        <w:rPr>
          <w:rFonts w:ascii="Arial" w:hAnsi="Arial" w:cs="Arial"/>
          <w:sz w:val="20"/>
          <w:szCs w:val="20"/>
        </w:rPr>
        <w:t xml:space="preserve"> las mismas puedan tener un mayor grado de concentración</w:t>
      </w:r>
      <w:r w:rsidR="007E5385" w:rsidRPr="00CC51E2">
        <w:rPr>
          <w:rFonts w:ascii="Arial" w:hAnsi="Arial" w:cs="Arial"/>
          <w:sz w:val="20"/>
          <w:szCs w:val="20"/>
        </w:rPr>
        <w:t>.</w:t>
      </w:r>
    </w:p>
    <w:p w:rsidR="007E5385" w:rsidRPr="00CC51E2" w:rsidRDefault="007E5385" w:rsidP="00642127">
      <w:pPr>
        <w:pStyle w:val="Prrafodelista"/>
        <w:spacing w:after="0" w:line="312" w:lineRule="auto"/>
        <w:ind w:left="357"/>
        <w:jc w:val="both"/>
        <w:rPr>
          <w:rFonts w:ascii="Arial" w:hAnsi="Arial" w:cs="Arial"/>
          <w:sz w:val="20"/>
          <w:szCs w:val="20"/>
        </w:rPr>
      </w:pPr>
    </w:p>
    <w:p w:rsidR="007E5385" w:rsidRPr="00CC51E2" w:rsidRDefault="007E5385"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Aunado a lo anterior, se </w:t>
      </w:r>
      <w:r w:rsidR="008B6B9E" w:rsidRPr="00CC51E2">
        <w:rPr>
          <w:rFonts w:ascii="Arial" w:hAnsi="Arial" w:cs="Arial"/>
          <w:sz w:val="20"/>
          <w:szCs w:val="20"/>
        </w:rPr>
        <w:t>está</w:t>
      </w:r>
      <w:r w:rsidRPr="00CC51E2">
        <w:rPr>
          <w:rFonts w:ascii="Arial" w:hAnsi="Arial" w:cs="Arial"/>
          <w:sz w:val="20"/>
          <w:szCs w:val="20"/>
        </w:rPr>
        <w:t xml:space="preserve"> realizando por parte de una Fisioterapeuta de la ARL, las inspecciones alea</w:t>
      </w:r>
      <w:r w:rsidR="00D06B4C" w:rsidRPr="00CC51E2">
        <w:rPr>
          <w:rFonts w:ascii="Arial" w:hAnsi="Arial" w:cs="Arial"/>
          <w:sz w:val="20"/>
          <w:szCs w:val="20"/>
        </w:rPr>
        <w:t xml:space="preserve">torias a los puestos de trabajo, actividad que produjo </w:t>
      </w:r>
      <w:r w:rsidR="00D64100" w:rsidRPr="00CC51E2">
        <w:rPr>
          <w:rFonts w:ascii="Arial" w:hAnsi="Arial" w:cs="Arial"/>
          <w:sz w:val="20"/>
          <w:szCs w:val="20"/>
        </w:rPr>
        <w:t>unos</w:t>
      </w:r>
      <w:r w:rsidR="00D06B4C" w:rsidRPr="00CC51E2">
        <w:rPr>
          <w:rFonts w:ascii="Arial" w:hAnsi="Arial" w:cs="Arial"/>
          <w:sz w:val="20"/>
          <w:szCs w:val="20"/>
        </w:rPr>
        <w:t xml:space="preserve"> informe</w:t>
      </w:r>
      <w:r w:rsidR="00D64100" w:rsidRPr="00CC51E2">
        <w:rPr>
          <w:rFonts w:ascii="Arial" w:hAnsi="Arial" w:cs="Arial"/>
          <w:sz w:val="20"/>
          <w:szCs w:val="20"/>
        </w:rPr>
        <w:t>s</w:t>
      </w:r>
      <w:r w:rsidR="00D06B4C" w:rsidRPr="00CC51E2">
        <w:rPr>
          <w:rFonts w:ascii="Arial" w:hAnsi="Arial" w:cs="Arial"/>
          <w:sz w:val="20"/>
          <w:szCs w:val="20"/>
        </w:rPr>
        <w:t xml:space="preserve"> con las características y/o falencias </w:t>
      </w:r>
      <w:r w:rsidR="002D4BD4" w:rsidRPr="00CC51E2">
        <w:rPr>
          <w:rFonts w:ascii="Arial" w:hAnsi="Arial" w:cs="Arial"/>
          <w:sz w:val="20"/>
          <w:szCs w:val="20"/>
        </w:rPr>
        <w:t>de cada uno de ello</w:t>
      </w:r>
      <w:r w:rsidR="009226FB" w:rsidRPr="00CC51E2">
        <w:rPr>
          <w:rFonts w:ascii="Arial" w:hAnsi="Arial" w:cs="Arial"/>
          <w:sz w:val="20"/>
          <w:szCs w:val="20"/>
        </w:rPr>
        <w:t xml:space="preserve">s, </w:t>
      </w:r>
      <w:r w:rsidR="002D4BD4" w:rsidRPr="00CC51E2">
        <w:rPr>
          <w:rFonts w:ascii="Arial" w:hAnsi="Arial" w:cs="Arial"/>
          <w:sz w:val="20"/>
          <w:szCs w:val="20"/>
        </w:rPr>
        <w:t>los cuales</w:t>
      </w:r>
      <w:r w:rsidR="009226FB" w:rsidRPr="00CC51E2">
        <w:rPr>
          <w:rFonts w:ascii="Arial" w:hAnsi="Arial" w:cs="Arial"/>
          <w:sz w:val="20"/>
          <w:szCs w:val="20"/>
        </w:rPr>
        <w:t xml:space="preserve"> contienen</w:t>
      </w:r>
      <w:r w:rsidR="00D06B4C" w:rsidRPr="00CC51E2">
        <w:rPr>
          <w:rFonts w:ascii="Arial" w:hAnsi="Arial" w:cs="Arial"/>
          <w:sz w:val="20"/>
          <w:szCs w:val="20"/>
        </w:rPr>
        <w:t xml:space="preserve"> l</w:t>
      </w:r>
      <w:r w:rsidR="009226FB" w:rsidRPr="00CC51E2">
        <w:rPr>
          <w:rFonts w:ascii="Arial" w:hAnsi="Arial" w:cs="Arial"/>
          <w:sz w:val="20"/>
          <w:szCs w:val="20"/>
        </w:rPr>
        <w:t xml:space="preserve">as recomendaciones para mejorar los puestos de </w:t>
      </w:r>
      <w:r w:rsidR="009226FB" w:rsidRPr="00CC51E2">
        <w:rPr>
          <w:rFonts w:ascii="Arial" w:hAnsi="Arial" w:cs="Arial"/>
          <w:sz w:val="20"/>
          <w:szCs w:val="20"/>
        </w:rPr>
        <w:lastRenderedPageBreak/>
        <w:t xml:space="preserve">trabajo, entre otros factores fisioterapéuticos. Las áreas que cuentan con dicho informe en el primer semestre son la Oficina de Control Interno, </w:t>
      </w:r>
      <w:r w:rsidR="006C6523" w:rsidRPr="00CC51E2">
        <w:rPr>
          <w:rFonts w:ascii="Arial" w:hAnsi="Arial" w:cs="Arial"/>
          <w:sz w:val="20"/>
          <w:szCs w:val="20"/>
        </w:rPr>
        <w:t xml:space="preserve">la </w:t>
      </w:r>
      <w:r w:rsidR="009226FB" w:rsidRPr="00CC51E2">
        <w:rPr>
          <w:rFonts w:ascii="Arial" w:hAnsi="Arial" w:cs="Arial"/>
          <w:sz w:val="20"/>
          <w:szCs w:val="20"/>
        </w:rPr>
        <w:t xml:space="preserve">Oficina de Planeación, </w:t>
      </w:r>
      <w:r w:rsidR="006C6523" w:rsidRPr="00CC51E2">
        <w:rPr>
          <w:rFonts w:ascii="Arial" w:hAnsi="Arial" w:cs="Arial"/>
          <w:sz w:val="20"/>
          <w:szCs w:val="20"/>
        </w:rPr>
        <w:t xml:space="preserve">la </w:t>
      </w:r>
      <w:r w:rsidR="009226FB" w:rsidRPr="00CC51E2">
        <w:rPr>
          <w:rFonts w:ascii="Arial" w:hAnsi="Arial" w:cs="Arial"/>
          <w:sz w:val="20"/>
          <w:szCs w:val="20"/>
        </w:rPr>
        <w:t>Oficina de Tecnologías de Información y Comunicación (TIC) y la Dirección de Mejoramiento de Vivienda. Lo anterior servirá de insumo fundamental para realizar las capacitaciones por las áreas de trabajo en</w:t>
      </w:r>
      <w:r w:rsidR="006C6523" w:rsidRPr="00CC51E2">
        <w:rPr>
          <w:rFonts w:ascii="Arial" w:hAnsi="Arial" w:cs="Arial"/>
          <w:sz w:val="20"/>
          <w:szCs w:val="20"/>
        </w:rPr>
        <w:t xml:space="preserve"> temas de</w:t>
      </w:r>
      <w:r w:rsidR="009226FB" w:rsidRPr="00CC51E2">
        <w:rPr>
          <w:rFonts w:ascii="Arial" w:hAnsi="Arial" w:cs="Arial"/>
          <w:sz w:val="20"/>
          <w:szCs w:val="20"/>
        </w:rPr>
        <w:t xml:space="preserve"> ergonomía y estilos de vida saludable, así como para el informe final con los resultados de las inspecciones y capacitaciones realizadas por la ARL.</w:t>
      </w:r>
    </w:p>
    <w:p w:rsidR="00963D2E" w:rsidRPr="00CC51E2" w:rsidRDefault="00963D2E" w:rsidP="009226FB">
      <w:pPr>
        <w:pStyle w:val="Prrafodelista"/>
        <w:spacing w:after="0" w:line="312" w:lineRule="auto"/>
        <w:ind w:left="357"/>
        <w:jc w:val="both"/>
        <w:rPr>
          <w:rFonts w:ascii="Arial" w:hAnsi="Arial" w:cs="Arial"/>
          <w:sz w:val="20"/>
          <w:szCs w:val="20"/>
        </w:rPr>
      </w:pPr>
    </w:p>
    <w:p w:rsidR="00963D2E" w:rsidRPr="00CC51E2" w:rsidRDefault="00963D2E"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Otra de las actividades relevantes del SG-SST es la capacitación de la brigada de emergencia de la Entidad, para lo cual se han ejecutado 3 capacitaciones en primeros auxilios y evacuación. </w:t>
      </w:r>
    </w:p>
    <w:p w:rsidR="004B2C77" w:rsidRPr="00CC51E2" w:rsidRDefault="004B2C77" w:rsidP="009226FB">
      <w:pPr>
        <w:pStyle w:val="Prrafodelista"/>
        <w:spacing w:after="0" w:line="312" w:lineRule="auto"/>
        <w:ind w:left="357"/>
        <w:jc w:val="both"/>
        <w:rPr>
          <w:rFonts w:ascii="Arial" w:hAnsi="Arial" w:cs="Arial"/>
          <w:sz w:val="20"/>
          <w:szCs w:val="20"/>
        </w:rPr>
      </w:pPr>
    </w:p>
    <w:p w:rsidR="004B2C77" w:rsidRPr="00CC51E2" w:rsidRDefault="004B2C77"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atención al compromiso del </w:t>
      </w:r>
      <w:r w:rsidR="00E33192" w:rsidRPr="00CC51E2">
        <w:rPr>
          <w:rFonts w:ascii="Arial" w:hAnsi="Arial" w:cs="Arial"/>
          <w:sz w:val="20"/>
          <w:szCs w:val="20"/>
        </w:rPr>
        <w:t xml:space="preserve">bienestar y seguridad del </w:t>
      </w:r>
      <w:r w:rsidRPr="00CC51E2">
        <w:rPr>
          <w:rFonts w:ascii="Arial" w:hAnsi="Arial" w:cs="Arial"/>
          <w:sz w:val="20"/>
          <w:szCs w:val="20"/>
        </w:rPr>
        <w:t>Proceso de Gestión del Talento Humano, la sala de lactancia se encuentra</w:t>
      </w:r>
      <w:r w:rsidR="00FE441B" w:rsidRPr="00CC51E2">
        <w:rPr>
          <w:rFonts w:ascii="Arial" w:hAnsi="Arial" w:cs="Arial"/>
          <w:sz w:val="20"/>
          <w:szCs w:val="20"/>
        </w:rPr>
        <w:t xml:space="preserve"> en funcionamiento y </w:t>
      </w:r>
      <w:r w:rsidRPr="00CC51E2">
        <w:rPr>
          <w:rFonts w:ascii="Arial" w:hAnsi="Arial" w:cs="Arial"/>
          <w:sz w:val="20"/>
          <w:szCs w:val="20"/>
        </w:rPr>
        <w:t xml:space="preserve">dotada </w:t>
      </w:r>
      <w:r w:rsidR="00FE441B" w:rsidRPr="00CC51E2">
        <w:rPr>
          <w:rFonts w:ascii="Arial" w:hAnsi="Arial" w:cs="Arial"/>
          <w:sz w:val="20"/>
          <w:szCs w:val="20"/>
        </w:rPr>
        <w:t>con los elementos necesarios, as</w:t>
      </w:r>
      <w:r w:rsidR="00E33192" w:rsidRPr="00CC51E2">
        <w:rPr>
          <w:rFonts w:ascii="Arial" w:hAnsi="Arial" w:cs="Arial"/>
          <w:sz w:val="20"/>
          <w:szCs w:val="20"/>
        </w:rPr>
        <w:t>í mismo</w:t>
      </w:r>
      <w:r w:rsidR="00885872" w:rsidRPr="00CC51E2">
        <w:rPr>
          <w:rFonts w:ascii="Arial" w:hAnsi="Arial" w:cs="Arial"/>
          <w:sz w:val="20"/>
          <w:szCs w:val="20"/>
        </w:rPr>
        <w:t>,</w:t>
      </w:r>
      <w:r w:rsidR="00E33192" w:rsidRPr="00CC51E2">
        <w:rPr>
          <w:rFonts w:ascii="Arial" w:hAnsi="Arial" w:cs="Arial"/>
          <w:sz w:val="20"/>
          <w:szCs w:val="20"/>
        </w:rPr>
        <w:t xml:space="preserve"> s</w:t>
      </w:r>
      <w:r w:rsidR="00FE441B" w:rsidRPr="00CC51E2">
        <w:rPr>
          <w:rFonts w:ascii="Arial" w:hAnsi="Arial" w:cs="Arial"/>
          <w:sz w:val="20"/>
          <w:szCs w:val="20"/>
        </w:rPr>
        <w:t xml:space="preserve">e implementó </w:t>
      </w:r>
      <w:r w:rsidR="00E33192" w:rsidRPr="00CC51E2">
        <w:rPr>
          <w:rFonts w:ascii="Arial" w:hAnsi="Arial" w:cs="Arial"/>
          <w:sz w:val="20"/>
          <w:szCs w:val="20"/>
        </w:rPr>
        <w:t>un protocolo para su correcto uso.</w:t>
      </w:r>
    </w:p>
    <w:p w:rsidR="00126FDE" w:rsidRPr="00CC51E2" w:rsidRDefault="00126FDE" w:rsidP="009226FB">
      <w:pPr>
        <w:pStyle w:val="Prrafodelista"/>
        <w:spacing w:after="0" w:line="312" w:lineRule="auto"/>
        <w:ind w:left="357"/>
        <w:jc w:val="both"/>
        <w:rPr>
          <w:rFonts w:ascii="Arial" w:hAnsi="Arial" w:cs="Arial"/>
          <w:sz w:val="20"/>
          <w:szCs w:val="20"/>
        </w:rPr>
      </w:pPr>
    </w:p>
    <w:p w:rsidR="00126FDE" w:rsidRPr="00CC51E2" w:rsidRDefault="00126FDE"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Otras actividades relevantes en el marco del SG-SST realizadas en el </w:t>
      </w:r>
      <w:r w:rsidR="00AA3F57" w:rsidRPr="00CC51E2">
        <w:rPr>
          <w:rFonts w:ascii="Arial" w:hAnsi="Arial" w:cs="Arial"/>
          <w:sz w:val="20"/>
          <w:szCs w:val="20"/>
        </w:rPr>
        <w:t>tercer tri</w:t>
      </w:r>
      <w:r w:rsidRPr="00CC51E2">
        <w:rPr>
          <w:rFonts w:ascii="Arial" w:hAnsi="Arial" w:cs="Arial"/>
          <w:sz w:val="20"/>
          <w:szCs w:val="20"/>
        </w:rPr>
        <w:t>mestre de 2017 son las siguientes:</w:t>
      </w:r>
    </w:p>
    <w:p w:rsidR="00126FDE" w:rsidRPr="00CC51E2" w:rsidRDefault="00126FDE" w:rsidP="009226FB">
      <w:pPr>
        <w:pStyle w:val="Prrafodelista"/>
        <w:spacing w:after="0" w:line="312" w:lineRule="auto"/>
        <w:ind w:left="357"/>
        <w:jc w:val="both"/>
        <w:rPr>
          <w:rFonts w:ascii="Arial" w:hAnsi="Arial" w:cs="Arial"/>
          <w:sz w:val="20"/>
          <w:szCs w:val="20"/>
        </w:rPr>
      </w:pPr>
    </w:p>
    <w:p w:rsidR="00B6252B" w:rsidRPr="00CC51E2" w:rsidRDefault="00B6252B"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Capacitación Riesgo Público</w:t>
      </w:r>
      <w:r w:rsidRPr="00CC51E2">
        <w:rPr>
          <w:rFonts w:ascii="Arial" w:hAnsi="Arial" w:cs="Arial"/>
          <w:sz w:val="20"/>
          <w:szCs w:val="20"/>
        </w:rPr>
        <w:t>:</w:t>
      </w:r>
      <w:r w:rsidR="00C16785" w:rsidRPr="00CC51E2">
        <w:rPr>
          <w:rFonts w:ascii="Arial" w:hAnsi="Arial" w:cs="Arial"/>
          <w:sz w:val="20"/>
          <w:szCs w:val="20"/>
        </w:rPr>
        <w:t xml:space="preserve"> </w:t>
      </w:r>
      <w:r w:rsidR="00483019" w:rsidRPr="00CC51E2">
        <w:rPr>
          <w:rFonts w:ascii="Arial" w:hAnsi="Arial" w:cs="Arial"/>
          <w:sz w:val="20"/>
          <w:szCs w:val="20"/>
        </w:rPr>
        <w:t>S</w:t>
      </w:r>
      <w:r w:rsidR="00C16785" w:rsidRPr="00CC51E2">
        <w:rPr>
          <w:rFonts w:ascii="Arial" w:hAnsi="Arial" w:cs="Arial"/>
          <w:sz w:val="20"/>
          <w:szCs w:val="20"/>
        </w:rPr>
        <w:t xml:space="preserve">e realizó capacitación por las áreas sobre </w:t>
      </w:r>
      <w:r w:rsidR="00176368" w:rsidRPr="00CC51E2">
        <w:rPr>
          <w:rFonts w:ascii="Arial" w:hAnsi="Arial" w:cs="Arial"/>
          <w:sz w:val="20"/>
          <w:szCs w:val="20"/>
        </w:rPr>
        <w:t>el riesgo psicosocial acompañada</w:t>
      </w:r>
      <w:r w:rsidR="00C16785" w:rsidRPr="00CC51E2">
        <w:rPr>
          <w:rFonts w:ascii="Arial" w:hAnsi="Arial" w:cs="Arial"/>
          <w:sz w:val="20"/>
          <w:szCs w:val="20"/>
        </w:rPr>
        <w:t xml:space="preserve"> por la ARL Positiva, en la cual se les</w:t>
      </w:r>
      <w:r w:rsidR="00DB2102" w:rsidRPr="00CC51E2">
        <w:rPr>
          <w:rFonts w:ascii="Arial" w:hAnsi="Arial" w:cs="Arial"/>
          <w:sz w:val="20"/>
          <w:szCs w:val="20"/>
        </w:rPr>
        <w:t xml:space="preserve"> brinda unos tipos de seguridad y la manera adecuada de reaccionar ante dichos percances.</w:t>
      </w:r>
    </w:p>
    <w:p w:rsidR="00C16785" w:rsidRPr="00CC51E2" w:rsidRDefault="00C16785" w:rsidP="00C16785">
      <w:pPr>
        <w:pStyle w:val="Prrafodelista"/>
        <w:spacing w:after="0" w:line="312" w:lineRule="auto"/>
        <w:ind w:left="717"/>
        <w:jc w:val="both"/>
        <w:rPr>
          <w:rFonts w:ascii="Arial" w:hAnsi="Arial" w:cs="Arial"/>
          <w:sz w:val="20"/>
          <w:szCs w:val="20"/>
        </w:rPr>
      </w:pPr>
    </w:p>
    <w:p w:rsidR="00B6252B" w:rsidRPr="00CC51E2" w:rsidRDefault="00AA3F57"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Participación simulacro Distrital</w:t>
      </w:r>
      <w:r w:rsidR="00DB2102" w:rsidRPr="00CC51E2">
        <w:rPr>
          <w:rFonts w:ascii="Arial" w:hAnsi="Arial" w:cs="Arial"/>
          <w:sz w:val="20"/>
          <w:szCs w:val="20"/>
        </w:rPr>
        <w:t xml:space="preserve"> </w:t>
      </w:r>
      <w:r w:rsidR="00483019" w:rsidRPr="00CC51E2">
        <w:rPr>
          <w:rFonts w:ascii="Arial" w:hAnsi="Arial" w:cs="Arial"/>
          <w:sz w:val="20"/>
          <w:szCs w:val="20"/>
        </w:rPr>
        <w:t>S</w:t>
      </w:r>
      <w:r w:rsidRPr="00CC51E2">
        <w:rPr>
          <w:rFonts w:ascii="Arial" w:hAnsi="Arial" w:cs="Arial"/>
          <w:sz w:val="20"/>
          <w:szCs w:val="20"/>
        </w:rPr>
        <w:t>e realizó una</w:t>
      </w:r>
      <w:r w:rsidR="00DB2102" w:rsidRPr="00CC51E2">
        <w:rPr>
          <w:rFonts w:ascii="Arial" w:hAnsi="Arial" w:cs="Arial"/>
          <w:sz w:val="20"/>
          <w:szCs w:val="20"/>
        </w:rPr>
        <w:t xml:space="preserve"> sensibilización por </w:t>
      </w:r>
      <w:r w:rsidRPr="00CC51E2">
        <w:rPr>
          <w:rFonts w:ascii="Arial" w:hAnsi="Arial" w:cs="Arial"/>
          <w:sz w:val="20"/>
          <w:szCs w:val="20"/>
        </w:rPr>
        <w:t xml:space="preserve">todas </w:t>
      </w:r>
      <w:r w:rsidR="00DB2102" w:rsidRPr="00CC51E2">
        <w:rPr>
          <w:rFonts w:ascii="Arial" w:hAnsi="Arial" w:cs="Arial"/>
          <w:sz w:val="20"/>
          <w:szCs w:val="20"/>
        </w:rPr>
        <w:t>la</w:t>
      </w:r>
      <w:r w:rsidR="00DD66BA" w:rsidRPr="00CC51E2">
        <w:rPr>
          <w:rFonts w:ascii="Arial" w:hAnsi="Arial" w:cs="Arial"/>
          <w:sz w:val="20"/>
          <w:szCs w:val="20"/>
        </w:rPr>
        <w:t>s</w:t>
      </w:r>
      <w:r w:rsidR="00DB2102" w:rsidRPr="00CC51E2">
        <w:rPr>
          <w:rFonts w:ascii="Arial" w:hAnsi="Arial" w:cs="Arial"/>
          <w:sz w:val="20"/>
          <w:szCs w:val="20"/>
        </w:rPr>
        <w:t xml:space="preserve"> áreas </w:t>
      </w:r>
      <w:r w:rsidRPr="00CC51E2">
        <w:rPr>
          <w:rFonts w:ascii="Arial" w:hAnsi="Arial" w:cs="Arial"/>
          <w:sz w:val="20"/>
          <w:szCs w:val="20"/>
        </w:rPr>
        <w:t xml:space="preserve">de la CVP </w:t>
      </w:r>
      <w:r w:rsidR="00DB2102" w:rsidRPr="00CC51E2">
        <w:rPr>
          <w:rFonts w:ascii="Arial" w:hAnsi="Arial" w:cs="Arial"/>
          <w:sz w:val="20"/>
          <w:szCs w:val="20"/>
        </w:rPr>
        <w:t xml:space="preserve">sobre </w:t>
      </w:r>
      <w:r w:rsidR="00DD66BA" w:rsidRPr="00CC51E2">
        <w:rPr>
          <w:rFonts w:ascii="Arial" w:hAnsi="Arial" w:cs="Arial"/>
          <w:sz w:val="20"/>
          <w:szCs w:val="20"/>
        </w:rPr>
        <w:t>qué</w:t>
      </w:r>
      <w:r w:rsidR="00DB2102" w:rsidRPr="00CC51E2">
        <w:rPr>
          <w:rFonts w:ascii="Arial" w:hAnsi="Arial" w:cs="Arial"/>
          <w:sz w:val="20"/>
          <w:szCs w:val="20"/>
        </w:rPr>
        <w:t xml:space="preserve"> hacer en caso de sismo, </w:t>
      </w:r>
      <w:r w:rsidRPr="00CC51E2">
        <w:rPr>
          <w:rFonts w:ascii="Arial" w:hAnsi="Arial" w:cs="Arial"/>
          <w:sz w:val="20"/>
          <w:szCs w:val="20"/>
        </w:rPr>
        <w:t>y se hizo participe a todos los funcionarios a través de la participación activa en el simulacro Distrital.</w:t>
      </w:r>
    </w:p>
    <w:p w:rsidR="00483019" w:rsidRPr="00CC51E2" w:rsidRDefault="00483019" w:rsidP="00AA3F57">
      <w:pPr>
        <w:rPr>
          <w:rFonts w:ascii="Arial" w:hAnsi="Arial" w:cs="Arial"/>
          <w:sz w:val="20"/>
          <w:szCs w:val="20"/>
        </w:rPr>
      </w:pPr>
    </w:p>
    <w:p w:rsidR="00C16785" w:rsidRPr="00CC51E2" w:rsidRDefault="00C16785"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Sensibilización Subsistema de Seguridad y Salud en el Trabajo</w:t>
      </w:r>
      <w:r w:rsidRPr="00CC51E2">
        <w:rPr>
          <w:rFonts w:ascii="Arial" w:hAnsi="Arial" w:cs="Arial"/>
          <w:sz w:val="20"/>
          <w:szCs w:val="20"/>
        </w:rPr>
        <w:t>:</w:t>
      </w:r>
      <w:r w:rsidR="00F90615" w:rsidRPr="00CC51E2">
        <w:rPr>
          <w:rFonts w:ascii="Arial" w:hAnsi="Arial" w:cs="Arial"/>
          <w:sz w:val="20"/>
          <w:szCs w:val="20"/>
        </w:rPr>
        <w:t xml:space="preserve"> se realizó una nueva sensibilización sobre el Subsistema de Seguridad y Salud en el Trabajo por todas las áreas de la</w:t>
      </w:r>
      <w:r w:rsidR="00662401" w:rsidRPr="00CC51E2">
        <w:rPr>
          <w:rFonts w:ascii="Arial" w:hAnsi="Arial" w:cs="Arial"/>
          <w:sz w:val="20"/>
          <w:szCs w:val="20"/>
        </w:rPr>
        <w:t xml:space="preserve"> entidad, en las cuales se da a conocer la política, objetivos, actividades del Subsistema y los riesgos y peligros a los cuales se encuentran expuestos los funcionarios y contratistas de la entidad.</w:t>
      </w:r>
    </w:p>
    <w:p w:rsidR="00EB7956" w:rsidRPr="00CC51E2" w:rsidRDefault="00EB7956" w:rsidP="00B379AE">
      <w:pPr>
        <w:pStyle w:val="Prrafodelista"/>
        <w:spacing w:after="0" w:line="312" w:lineRule="auto"/>
        <w:ind w:left="357"/>
        <w:jc w:val="both"/>
        <w:rPr>
          <w:rFonts w:ascii="Arial" w:hAnsi="Arial" w:cs="Arial"/>
          <w:sz w:val="20"/>
          <w:szCs w:val="20"/>
        </w:rPr>
      </w:pPr>
    </w:p>
    <w:p w:rsidR="004D12C6" w:rsidRPr="00CC51E2" w:rsidRDefault="004D12C6" w:rsidP="008C577D">
      <w:pPr>
        <w:pStyle w:val="Prrafodelista"/>
        <w:spacing w:after="0" w:line="312" w:lineRule="auto"/>
        <w:ind w:left="357"/>
        <w:jc w:val="both"/>
        <w:rPr>
          <w:rFonts w:ascii="Arial" w:hAnsi="Arial" w:cs="Arial"/>
          <w:sz w:val="20"/>
          <w:szCs w:val="20"/>
        </w:rPr>
      </w:pPr>
    </w:p>
    <w:p w:rsidR="00EB7956" w:rsidRPr="00CC51E2" w:rsidRDefault="00EB7956" w:rsidP="008C577D">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Finalmente, para la </w:t>
      </w:r>
      <w:r w:rsidR="00483019" w:rsidRPr="00CC51E2">
        <w:rPr>
          <w:rFonts w:ascii="Arial" w:hAnsi="Arial" w:cs="Arial"/>
          <w:b/>
          <w:sz w:val="20"/>
          <w:szCs w:val="20"/>
        </w:rPr>
        <w:t>G</w:t>
      </w:r>
      <w:r w:rsidRPr="00CC51E2">
        <w:rPr>
          <w:rFonts w:ascii="Arial" w:hAnsi="Arial" w:cs="Arial"/>
          <w:b/>
          <w:sz w:val="20"/>
          <w:szCs w:val="20"/>
        </w:rPr>
        <w:t>estión de la actividad de los Planes de Mejoramiento</w:t>
      </w:r>
      <w:r w:rsidR="00071B3F" w:rsidRPr="00CC51E2">
        <w:rPr>
          <w:rFonts w:ascii="Arial" w:hAnsi="Arial" w:cs="Arial"/>
          <w:sz w:val="20"/>
          <w:szCs w:val="20"/>
        </w:rPr>
        <w:t xml:space="preserve"> del Proceso, </w:t>
      </w:r>
      <w:r w:rsidR="008C577D" w:rsidRPr="00CC51E2">
        <w:rPr>
          <w:rFonts w:ascii="Arial" w:hAnsi="Arial" w:cs="Arial"/>
          <w:sz w:val="20"/>
          <w:szCs w:val="20"/>
        </w:rPr>
        <w:t>la Subdirección Administrativa ha gestionado efectivamente estos en cada uno de los procesos que tiene a cargo, actualizando y formulando las acciones pertinentes para su cierre efectivo, realizando el seguimiento y control adecuado que garantice el éxito de dichas acciones. La gestión de este ítem por parte de la Subdirección Administrativa ha sido la siguiente:</w:t>
      </w:r>
    </w:p>
    <w:p w:rsidR="008C577D" w:rsidRPr="00CC51E2" w:rsidRDefault="008C577D" w:rsidP="008C577D">
      <w:pPr>
        <w:pStyle w:val="Prrafodelista"/>
        <w:spacing w:after="0" w:line="312" w:lineRule="auto"/>
        <w:ind w:left="357"/>
        <w:jc w:val="both"/>
        <w:rPr>
          <w:rFonts w:ascii="Arial" w:hAnsi="Arial" w:cs="Arial"/>
          <w:sz w:val="20"/>
          <w:szCs w:val="20"/>
        </w:rPr>
      </w:pPr>
    </w:p>
    <w:p w:rsidR="008C577D" w:rsidRPr="00CC51E2" w:rsidRDefault="004D12C6" w:rsidP="008C577D">
      <w:pPr>
        <w:pStyle w:val="Prrafodelista"/>
        <w:spacing w:after="0" w:line="312" w:lineRule="auto"/>
        <w:ind w:left="357"/>
        <w:jc w:val="both"/>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03E84022" wp14:editId="7FF0FB90">
            <wp:extent cx="5972175" cy="16192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1619250"/>
                    </a:xfrm>
                    <a:prstGeom prst="rect">
                      <a:avLst/>
                    </a:prstGeom>
                    <a:noFill/>
                    <a:ln>
                      <a:noFill/>
                    </a:ln>
                  </pic:spPr>
                </pic:pic>
              </a:graphicData>
            </a:graphic>
          </wp:inline>
        </w:drawing>
      </w: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4D12C6" w:rsidRPr="00CC51E2" w:rsidRDefault="004D12C6" w:rsidP="001F6309">
      <w:pPr>
        <w:pStyle w:val="Prrafodelista"/>
        <w:spacing w:after="0" w:line="240" w:lineRule="auto"/>
        <w:ind w:left="360"/>
        <w:rPr>
          <w:rFonts w:ascii="Arial" w:hAnsi="Arial" w:cs="Arial"/>
          <w:b/>
          <w:color w:val="4F81BD" w:themeColor="accent1"/>
          <w:sz w:val="20"/>
          <w:szCs w:val="20"/>
          <w:u w:val="single"/>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t>Proceso de Administración y Control de Recursos – Gestión Administrativa.</w:t>
      </w:r>
    </w:p>
    <w:p w:rsidR="00C30E0B" w:rsidRPr="00CC51E2" w:rsidRDefault="00C30E0B" w:rsidP="00C30E0B">
      <w:pPr>
        <w:pStyle w:val="Prrafodelista"/>
        <w:spacing w:after="0" w:line="240" w:lineRule="auto"/>
        <w:ind w:left="360"/>
        <w:rPr>
          <w:rFonts w:ascii="Arial" w:hAnsi="Arial" w:cs="Arial"/>
          <w:b/>
          <w:color w:val="4F81BD" w:themeColor="accent1"/>
          <w:sz w:val="20"/>
          <w:szCs w:val="20"/>
          <w:u w:val="single"/>
        </w:rPr>
      </w:pPr>
    </w:p>
    <w:p w:rsidR="003662FE" w:rsidRPr="00CC51E2" w:rsidRDefault="003662FE" w:rsidP="004F2074">
      <w:pPr>
        <w:pStyle w:val="Prrafodelista"/>
        <w:spacing w:after="0" w:line="240" w:lineRule="auto"/>
        <w:ind w:left="360"/>
        <w:jc w:val="both"/>
        <w:rPr>
          <w:rFonts w:ascii="Arial" w:hAnsi="Arial" w:cs="Arial"/>
          <w:b/>
          <w:color w:val="4F81BD" w:themeColor="accent1"/>
          <w:sz w:val="20"/>
          <w:szCs w:val="20"/>
          <w:u w:val="single"/>
        </w:rPr>
      </w:pPr>
    </w:p>
    <w:p w:rsidR="004F2074" w:rsidRPr="00CC51E2" w:rsidRDefault="00777C7D" w:rsidP="004F2074">
      <w:pPr>
        <w:pStyle w:val="Prrafodelista"/>
        <w:spacing w:after="0" w:line="312" w:lineRule="auto"/>
        <w:ind w:left="357"/>
        <w:jc w:val="both"/>
        <w:rPr>
          <w:rFonts w:ascii="Arial" w:hAnsi="Arial" w:cs="Arial"/>
          <w:sz w:val="20"/>
          <w:szCs w:val="20"/>
        </w:rPr>
      </w:pPr>
      <w:r w:rsidRPr="00CC51E2">
        <w:rPr>
          <w:rFonts w:ascii="Arial" w:hAnsi="Arial" w:cs="Arial"/>
          <w:sz w:val="20"/>
          <w:szCs w:val="20"/>
        </w:rPr>
        <w:t>Éste</w:t>
      </w:r>
      <w:r w:rsidR="003662FE" w:rsidRPr="00CC51E2">
        <w:rPr>
          <w:rFonts w:ascii="Arial" w:hAnsi="Arial" w:cs="Arial"/>
          <w:sz w:val="20"/>
          <w:szCs w:val="20"/>
        </w:rPr>
        <w:t xml:space="preserve"> proceso</w:t>
      </w:r>
      <w:r w:rsidRPr="00CC51E2">
        <w:rPr>
          <w:rFonts w:ascii="Arial" w:hAnsi="Arial" w:cs="Arial"/>
          <w:sz w:val="20"/>
          <w:szCs w:val="20"/>
        </w:rPr>
        <w:t xml:space="preserve"> es gestionado de manera compartida </w:t>
      </w:r>
      <w:r w:rsidR="00AC5FF9" w:rsidRPr="00CC51E2">
        <w:rPr>
          <w:rFonts w:ascii="Arial" w:hAnsi="Arial" w:cs="Arial"/>
          <w:sz w:val="20"/>
          <w:szCs w:val="20"/>
        </w:rPr>
        <w:t>con</w:t>
      </w:r>
      <w:r w:rsidR="00E74371" w:rsidRPr="00CC51E2">
        <w:rPr>
          <w:rFonts w:ascii="Arial" w:hAnsi="Arial" w:cs="Arial"/>
          <w:sz w:val="20"/>
          <w:szCs w:val="20"/>
        </w:rPr>
        <w:t xml:space="preserve"> la Subdirección Financiera y </w:t>
      </w:r>
      <w:r w:rsidR="00B7679F" w:rsidRPr="00CC51E2">
        <w:rPr>
          <w:rFonts w:ascii="Arial" w:hAnsi="Arial" w:cs="Arial"/>
          <w:sz w:val="20"/>
          <w:szCs w:val="20"/>
        </w:rPr>
        <w:t>la</w:t>
      </w:r>
      <w:r w:rsidRPr="00CC51E2">
        <w:rPr>
          <w:rFonts w:ascii="Arial" w:hAnsi="Arial" w:cs="Arial"/>
          <w:sz w:val="20"/>
          <w:szCs w:val="20"/>
        </w:rPr>
        <w:t xml:space="preserve"> responsabilidad</w:t>
      </w:r>
      <w:r w:rsidR="00B7679F" w:rsidRPr="00CC51E2">
        <w:rPr>
          <w:rFonts w:ascii="Arial" w:hAnsi="Arial" w:cs="Arial"/>
          <w:sz w:val="20"/>
          <w:szCs w:val="20"/>
        </w:rPr>
        <w:t xml:space="preserve"> de </w:t>
      </w:r>
      <w:r w:rsidR="000B528D" w:rsidRPr="00CC51E2">
        <w:rPr>
          <w:rFonts w:ascii="Arial" w:hAnsi="Arial" w:cs="Arial"/>
          <w:sz w:val="20"/>
          <w:szCs w:val="20"/>
        </w:rPr>
        <w:t>esta</w:t>
      </w:r>
      <w:r w:rsidR="00B7679F" w:rsidRPr="00CC51E2">
        <w:rPr>
          <w:rFonts w:ascii="Arial" w:hAnsi="Arial" w:cs="Arial"/>
          <w:sz w:val="20"/>
          <w:szCs w:val="20"/>
        </w:rPr>
        <w:t xml:space="preserve"> </w:t>
      </w:r>
      <w:r w:rsidR="000B528D" w:rsidRPr="00CC51E2">
        <w:rPr>
          <w:rFonts w:ascii="Arial" w:hAnsi="Arial" w:cs="Arial"/>
          <w:sz w:val="20"/>
          <w:szCs w:val="20"/>
        </w:rPr>
        <w:t>Subdirección es la G</w:t>
      </w:r>
      <w:r w:rsidRPr="00CC51E2">
        <w:rPr>
          <w:rFonts w:ascii="Arial" w:hAnsi="Arial" w:cs="Arial"/>
          <w:sz w:val="20"/>
          <w:szCs w:val="20"/>
        </w:rPr>
        <w:t>esti</w:t>
      </w:r>
      <w:r w:rsidR="00B7679F" w:rsidRPr="00CC51E2">
        <w:rPr>
          <w:rFonts w:ascii="Arial" w:hAnsi="Arial" w:cs="Arial"/>
          <w:sz w:val="20"/>
          <w:szCs w:val="20"/>
        </w:rPr>
        <w:t xml:space="preserve">ón Administrativa, por tal razón en </w:t>
      </w:r>
      <w:r w:rsidR="001F22A1" w:rsidRPr="00CC51E2">
        <w:rPr>
          <w:rFonts w:ascii="Arial" w:hAnsi="Arial" w:cs="Arial"/>
          <w:sz w:val="20"/>
          <w:szCs w:val="20"/>
        </w:rPr>
        <w:t>el presente</w:t>
      </w:r>
      <w:r w:rsidR="00B7679F" w:rsidRPr="00CC51E2">
        <w:rPr>
          <w:rFonts w:ascii="Arial" w:hAnsi="Arial" w:cs="Arial"/>
          <w:sz w:val="20"/>
          <w:szCs w:val="20"/>
        </w:rPr>
        <w:t xml:space="preserve"> se plasma el resultado de </w:t>
      </w:r>
      <w:r w:rsidR="001F22A1" w:rsidRPr="00CC51E2">
        <w:rPr>
          <w:rFonts w:ascii="Arial" w:hAnsi="Arial" w:cs="Arial"/>
          <w:sz w:val="20"/>
          <w:szCs w:val="20"/>
        </w:rPr>
        <w:t>lo de competencia</w:t>
      </w:r>
      <w:r w:rsidR="00B7679F" w:rsidRPr="00CC51E2">
        <w:rPr>
          <w:rFonts w:ascii="Arial" w:hAnsi="Arial" w:cs="Arial"/>
          <w:sz w:val="20"/>
          <w:szCs w:val="20"/>
        </w:rPr>
        <w:t xml:space="preserve"> y no de todo el proceso</w:t>
      </w:r>
      <w:r w:rsidR="004F2074" w:rsidRPr="00CC51E2">
        <w:rPr>
          <w:rFonts w:ascii="Arial" w:hAnsi="Arial" w:cs="Arial"/>
          <w:sz w:val="20"/>
          <w:szCs w:val="20"/>
        </w:rPr>
        <w:t xml:space="preserve"> de Administración y Control de Recursos</w:t>
      </w:r>
      <w:r w:rsidR="00B7679F" w:rsidRPr="00CC51E2">
        <w:rPr>
          <w:rFonts w:ascii="Arial" w:hAnsi="Arial" w:cs="Arial"/>
          <w:sz w:val="20"/>
          <w:szCs w:val="20"/>
        </w:rPr>
        <w:t>:</w:t>
      </w:r>
    </w:p>
    <w:p w:rsidR="004D12C6" w:rsidRPr="00CC51E2" w:rsidRDefault="004D12C6" w:rsidP="004F2074">
      <w:pPr>
        <w:pStyle w:val="Prrafodelista"/>
        <w:spacing w:after="0" w:line="312" w:lineRule="auto"/>
        <w:ind w:left="357"/>
        <w:jc w:val="both"/>
        <w:rPr>
          <w:rFonts w:ascii="Arial" w:hAnsi="Arial" w:cs="Arial"/>
          <w:sz w:val="20"/>
          <w:szCs w:val="20"/>
        </w:rPr>
      </w:pPr>
    </w:p>
    <w:p w:rsidR="004D12C6" w:rsidRPr="00CC51E2" w:rsidRDefault="004D12C6" w:rsidP="004F2074">
      <w:pPr>
        <w:pStyle w:val="Prrafodelista"/>
        <w:spacing w:after="0" w:line="312" w:lineRule="auto"/>
        <w:ind w:left="357"/>
        <w:jc w:val="both"/>
        <w:rPr>
          <w:rFonts w:ascii="Arial" w:hAnsi="Arial" w:cs="Arial"/>
          <w:sz w:val="20"/>
          <w:szCs w:val="20"/>
        </w:rPr>
      </w:pPr>
    </w:p>
    <w:p w:rsidR="005111C0" w:rsidRPr="00CC51E2" w:rsidRDefault="005111C0" w:rsidP="004F2074">
      <w:pPr>
        <w:pStyle w:val="Prrafodelista"/>
        <w:spacing w:after="0" w:line="312" w:lineRule="auto"/>
        <w:ind w:left="357"/>
        <w:jc w:val="both"/>
        <w:rPr>
          <w:rFonts w:ascii="Arial" w:hAnsi="Arial" w:cs="Arial"/>
          <w:sz w:val="20"/>
          <w:szCs w:val="20"/>
        </w:rPr>
      </w:pPr>
    </w:p>
    <w:p w:rsidR="00D22E06" w:rsidRPr="00CC51E2" w:rsidRDefault="002E71E6" w:rsidP="004678B4">
      <w:pPr>
        <w:pStyle w:val="Prrafodelista"/>
        <w:spacing w:after="0" w:line="312" w:lineRule="auto"/>
        <w:ind w:left="357"/>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60288" behindDoc="1" locked="0" layoutInCell="1" allowOverlap="1">
            <wp:simplePos x="0" y="0"/>
            <wp:positionH relativeFrom="column">
              <wp:posOffset>261777</wp:posOffset>
            </wp:positionH>
            <wp:positionV relativeFrom="paragraph">
              <wp:posOffset>-2177</wp:posOffset>
            </wp:positionV>
            <wp:extent cx="5664530" cy="2624447"/>
            <wp:effectExtent l="0" t="0" r="0" b="508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64530" cy="2624447"/>
                    </a:xfrm>
                    <a:prstGeom prst="rect">
                      <a:avLst/>
                    </a:prstGeom>
                    <a:noFill/>
                  </pic:spPr>
                </pic:pic>
              </a:graphicData>
            </a:graphic>
            <wp14:sizeRelH relativeFrom="page">
              <wp14:pctWidth>0</wp14:pctWidth>
            </wp14:sizeRelH>
            <wp14:sizeRelV relativeFrom="page">
              <wp14:pctHeight>0</wp14:pctHeight>
            </wp14:sizeRelV>
          </wp:anchor>
        </w:drawing>
      </w: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0935F5" w:rsidRPr="00CC51E2" w:rsidRDefault="000935F5" w:rsidP="00D22E06">
      <w:pPr>
        <w:pStyle w:val="Prrafodelista"/>
        <w:spacing w:after="0" w:line="312" w:lineRule="auto"/>
        <w:ind w:left="357"/>
        <w:jc w:val="center"/>
        <w:rPr>
          <w:rFonts w:ascii="Arial" w:hAnsi="Arial" w:cs="Arial"/>
          <w:b/>
          <w:sz w:val="20"/>
          <w:szCs w:val="20"/>
        </w:rPr>
      </w:pPr>
    </w:p>
    <w:p w:rsidR="000935F5" w:rsidRPr="00CC51E2" w:rsidRDefault="000935F5"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D22E06" w:rsidRPr="00CC51E2" w:rsidRDefault="00D22E06" w:rsidP="00D22E06">
      <w:pPr>
        <w:pStyle w:val="Prrafodelista"/>
        <w:spacing w:after="0" w:line="312" w:lineRule="auto"/>
        <w:ind w:left="357"/>
        <w:jc w:val="center"/>
        <w:rPr>
          <w:rFonts w:ascii="Arial" w:hAnsi="Arial" w:cs="Arial"/>
          <w:b/>
          <w:sz w:val="20"/>
          <w:szCs w:val="20"/>
        </w:rPr>
      </w:pPr>
      <w:r w:rsidRPr="00CC51E2">
        <w:rPr>
          <w:rFonts w:ascii="Arial" w:hAnsi="Arial" w:cs="Arial"/>
          <w:b/>
          <w:sz w:val="20"/>
          <w:szCs w:val="20"/>
        </w:rPr>
        <w:t>Gráfico No. 3.</w:t>
      </w:r>
    </w:p>
    <w:p w:rsidR="00F23474" w:rsidRPr="00CC51E2" w:rsidRDefault="00F23474" w:rsidP="00F23474">
      <w:pPr>
        <w:pStyle w:val="Prrafodelista"/>
        <w:spacing w:after="0" w:line="312" w:lineRule="auto"/>
        <w:ind w:left="357"/>
        <w:jc w:val="center"/>
        <w:rPr>
          <w:rFonts w:ascii="Arial" w:hAnsi="Arial" w:cs="Arial"/>
          <w:noProof/>
          <w:sz w:val="20"/>
          <w:szCs w:val="20"/>
          <w:lang w:eastAsia="es-CO"/>
        </w:rPr>
      </w:pPr>
    </w:p>
    <w:p w:rsidR="002E71E6" w:rsidRPr="00CC51E2" w:rsidRDefault="002E71E6" w:rsidP="00F23474">
      <w:pPr>
        <w:pStyle w:val="Prrafodelista"/>
        <w:spacing w:after="0" w:line="312" w:lineRule="auto"/>
        <w:ind w:left="357"/>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0285228C">
            <wp:extent cx="5822315" cy="339598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22315" cy="3395980"/>
                    </a:xfrm>
                    <a:prstGeom prst="rect">
                      <a:avLst/>
                    </a:prstGeom>
                    <a:noFill/>
                  </pic:spPr>
                </pic:pic>
              </a:graphicData>
            </a:graphic>
          </wp:inline>
        </w:drawing>
      </w:r>
    </w:p>
    <w:p w:rsidR="00F23474" w:rsidRPr="00CC51E2" w:rsidRDefault="00FD2398" w:rsidP="00F23474">
      <w:pPr>
        <w:pStyle w:val="Prrafodelista"/>
        <w:spacing w:after="0" w:line="312" w:lineRule="auto"/>
        <w:ind w:left="357"/>
        <w:jc w:val="center"/>
        <w:rPr>
          <w:rFonts w:ascii="Arial" w:hAnsi="Arial" w:cs="Arial"/>
          <w:b/>
          <w:sz w:val="20"/>
          <w:szCs w:val="20"/>
        </w:rPr>
      </w:pPr>
      <w:r w:rsidRPr="00CC51E2">
        <w:rPr>
          <w:rFonts w:ascii="Arial" w:hAnsi="Arial" w:cs="Arial"/>
          <w:b/>
          <w:sz w:val="20"/>
          <w:szCs w:val="20"/>
        </w:rPr>
        <w:t>Gráfico N</w:t>
      </w:r>
      <w:r w:rsidR="00F23474" w:rsidRPr="00CC51E2">
        <w:rPr>
          <w:rFonts w:ascii="Arial" w:hAnsi="Arial" w:cs="Arial"/>
          <w:b/>
          <w:sz w:val="20"/>
          <w:szCs w:val="20"/>
        </w:rPr>
        <w:t>o. 4.</w:t>
      </w:r>
    </w:p>
    <w:p w:rsidR="001F01E0" w:rsidRPr="00CC51E2" w:rsidRDefault="001F01E0" w:rsidP="00F23474">
      <w:pPr>
        <w:pStyle w:val="Prrafodelista"/>
        <w:spacing w:after="0" w:line="312" w:lineRule="auto"/>
        <w:ind w:left="357"/>
        <w:jc w:val="center"/>
        <w:rPr>
          <w:rFonts w:ascii="Arial" w:hAnsi="Arial" w:cs="Arial"/>
          <w:b/>
          <w:sz w:val="20"/>
          <w:szCs w:val="20"/>
        </w:rPr>
      </w:pPr>
    </w:p>
    <w:p w:rsidR="001F01E0" w:rsidRPr="00CC51E2" w:rsidRDefault="001F01E0" w:rsidP="00F23474">
      <w:pPr>
        <w:pStyle w:val="Prrafodelista"/>
        <w:spacing w:after="0" w:line="312" w:lineRule="auto"/>
        <w:ind w:left="357"/>
        <w:jc w:val="center"/>
        <w:rPr>
          <w:rFonts w:ascii="Arial" w:hAnsi="Arial" w:cs="Arial"/>
          <w:b/>
          <w:sz w:val="20"/>
          <w:szCs w:val="20"/>
        </w:rPr>
      </w:pPr>
    </w:p>
    <w:p w:rsidR="0050402F" w:rsidRPr="00CC51E2" w:rsidRDefault="0050402F" w:rsidP="0050402F">
      <w:pPr>
        <w:pStyle w:val="Prrafodelista"/>
        <w:spacing w:after="0" w:line="312" w:lineRule="auto"/>
        <w:ind w:left="357"/>
        <w:jc w:val="both"/>
        <w:rPr>
          <w:rFonts w:ascii="Arial" w:hAnsi="Arial" w:cs="Arial"/>
          <w:sz w:val="20"/>
          <w:szCs w:val="20"/>
        </w:rPr>
      </w:pPr>
      <w:r w:rsidRPr="00CC51E2">
        <w:rPr>
          <w:rFonts w:ascii="Arial" w:hAnsi="Arial" w:cs="Arial"/>
          <w:sz w:val="20"/>
          <w:szCs w:val="20"/>
        </w:rPr>
        <w:t>El avance de la Gestión Administrativa</w:t>
      </w:r>
      <w:r w:rsidR="000E7CF9" w:rsidRPr="00CC51E2">
        <w:rPr>
          <w:rFonts w:ascii="Arial" w:hAnsi="Arial" w:cs="Arial"/>
          <w:sz w:val="20"/>
          <w:szCs w:val="20"/>
        </w:rPr>
        <w:t xml:space="preserve"> en el marco del P</w:t>
      </w:r>
      <w:r w:rsidRPr="00CC51E2">
        <w:rPr>
          <w:rFonts w:ascii="Arial" w:hAnsi="Arial" w:cs="Arial"/>
          <w:sz w:val="20"/>
          <w:szCs w:val="20"/>
        </w:rPr>
        <w:t>roceso de Administración y Control de Recursos</w:t>
      </w:r>
      <w:r w:rsidR="000E7CF9" w:rsidRPr="00CC51E2">
        <w:rPr>
          <w:rFonts w:ascii="Arial" w:hAnsi="Arial" w:cs="Arial"/>
          <w:sz w:val="20"/>
          <w:szCs w:val="20"/>
        </w:rPr>
        <w:t xml:space="preserve"> a</w:t>
      </w:r>
      <w:r w:rsidR="002E71E6" w:rsidRPr="00CC51E2">
        <w:rPr>
          <w:rFonts w:ascii="Arial" w:hAnsi="Arial" w:cs="Arial"/>
          <w:sz w:val="20"/>
          <w:szCs w:val="20"/>
        </w:rPr>
        <w:t xml:space="preserve"> 31 de octubre de 2017 es de un 67</w:t>
      </w:r>
      <w:r w:rsidR="000E7CF9" w:rsidRPr="00CC51E2">
        <w:rPr>
          <w:rFonts w:ascii="Arial" w:hAnsi="Arial" w:cs="Arial"/>
          <w:sz w:val="20"/>
          <w:szCs w:val="20"/>
        </w:rPr>
        <w:t xml:space="preserve">%, </w:t>
      </w:r>
      <w:r w:rsidR="00042B68" w:rsidRPr="00CC51E2">
        <w:rPr>
          <w:rFonts w:ascii="Arial" w:hAnsi="Arial" w:cs="Arial"/>
          <w:sz w:val="20"/>
          <w:szCs w:val="20"/>
        </w:rPr>
        <w:t>qu</w:t>
      </w:r>
      <w:r w:rsidR="000E7CF9" w:rsidRPr="00CC51E2">
        <w:rPr>
          <w:rFonts w:ascii="Arial" w:hAnsi="Arial" w:cs="Arial"/>
          <w:sz w:val="20"/>
          <w:szCs w:val="20"/>
        </w:rPr>
        <w:t xml:space="preserve">e evidencia una gestión eficiente de las actividades, tal es el caso de la </w:t>
      </w:r>
      <w:r w:rsidR="000E7CF9" w:rsidRPr="00CC51E2">
        <w:rPr>
          <w:rFonts w:ascii="Arial" w:hAnsi="Arial" w:cs="Arial"/>
          <w:b/>
          <w:sz w:val="20"/>
          <w:szCs w:val="20"/>
        </w:rPr>
        <w:t>gestión del funcionamiento de la entidad</w:t>
      </w:r>
      <w:r w:rsidR="000E7CF9" w:rsidRPr="00CC51E2">
        <w:rPr>
          <w:rFonts w:ascii="Arial" w:hAnsi="Arial" w:cs="Arial"/>
          <w:sz w:val="20"/>
          <w:szCs w:val="20"/>
        </w:rPr>
        <w:t xml:space="preserve">, </w:t>
      </w:r>
      <w:r w:rsidR="00BC1385" w:rsidRPr="00CC51E2">
        <w:rPr>
          <w:rFonts w:ascii="Arial" w:hAnsi="Arial" w:cs="Arial"/>
          <w:sz w:val="20"/>
          <w:szCs w:val="20"/>
        </w:rPr>
        <w:t>en la cual se gestionaron los requerimientos de apoyo logístico solicitados por cada</w:t>
      </w:r>
      <w:r w:rsidR="00155BF4" w:rsidRPr="00CC51E2">
        <w:rPr>
          <w:rFonts w:ascii="Arial" w:hAnsi="Arial" w:cs="Arial"/>
          <w:sz w:val="20"/>
          <w:szCs w:val="20"/>
        </w:rPr>
        <w:t xml:space="preserve"> una de las áreas y se coordinaron</w:t>
      </w:r>
      <w:r w:rsidR="00BC1385" w:rsidRPr="00CC51E2">
        <w:rPr>
          <w:rFonts w:ascii="Arial" w:hAnsi="Arial" w:cs="Arial"/>
          <w:sz w:val="20"/>
          <w:szCs w:val="20"/>
        </w:rPr>
        <w:t xml:space="preserve"> las acciones pertinentes para la prestación de servicios generales, con el propósito de mantener el debido funcionamiento de la </w:t>
      </w:r>
      <w:r w:rsidR="00A113A9" w:rsidRPr="00CC51E2">
        <w:rPr>
          <w:rFonts w:ascii="Arial" w:hAnsi="Arial" w:cs="Arial"/>
          <w:sz w:val="20"/>
          <w:szCs w:val="20"/>
        </w:rPr>
        <w:t xml:space="preserve">Entidad, </w:t>
      </w:r>
      <w:r w:rsidR="000E7CF9" w:rsidRPr="00CC51E2">
        <w:rPr>
          <w:rFonts w:ascii="Arial" w:hAnsi="Arial" w:cs="Arial"/>
          <w:sz w:val="20"/>
          <w:szCs w:val="20"/>
        </w:rPr>
        <w:t>en la cual se pueden resaltar las siguientes:</w:t>
      </w:r>
    </w:p>
    <w:p w:rsidR="000E7CF9" w:rsidRPr="00CC51E2" w:rsidRDefault="000E7CF9" w:rsidP="0050402F">
      <w:pPr>
        <w:pStyle w:val="Prrafodelista"/>
        <w:spacing w:after="0" w:line="312" w:lineRule="auto"/>
        <w:ind w:left="357"/>
        <w:jc w:val="both"/>
        <w:rPr>
          <w:rFonts w:ascii="Arial" w:hAnsi="Arial" w:cs="Arial"/>
          <w:sz w:val="20"/>
          <w:szCs w:val="20"/>
        </w:rPr>
      </w:pP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Aseo y Cafetería.</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Suministro de Combustible.</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de Fotocopiado.</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Mensajería Expresa y Motorizada.</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Suministro de Papelería y Útiles de Oficina.</w:t>
      </w:r>
    </w:p>
    <w:p w:rsidR="000E7CF9"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de Transporte (Camionetas, buses, vans)</w:t>
      </w:r>
    </w:p>
    <w:p w:rsidR="00EF35C9" w:rsidRPr="00CC51E2" w:rsidRDefault="00EF35C9"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Seguridad y vigilancia.</w:t>
      </w:r>
    </w:p>
    <w:p w:rsidR="006D1C25" w:rsidRPr="00CC51E2" w:rsidRDefault="006D1C25"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Gestión de los servicios público</w:t>
      </w:r>
      <w:r w:rsidR="00AC5120" w:rsidRPr="00CC51E2">
        <w:rPr>
          <w:rFonts w:ascii="Arial" w:hAnsi="Arial" w:cs="Arial"/>
          <w:sz w:val="20"/>
          <w:szCs w:val="20"/>
        </w:rPr>
        <w:t>s</w:t>
      </w:r>
      <w:r w:rsidRPr="00CC51E2">
        <w:rPr>
          <w:rFonts w:ascii="Arial" w:hAnsi="Arial" w:cs="Arial"/>
          <w:sz w:val="20"/>
          <w:szCs w:val="20"/>
        </w:rPr>
        <w:t xml:space="preserve"> y telefonía celular.</w:t>
      </w:r>
    </w:p>
    <w:p w:rsidR="003846A6" w:rsidRPr="00CC51E2" w:rsidRDefault="003846A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Gestión del arre</w:t>
      </w:r>
      <w:r w:rsidR="00AC5120" w:rsidRPr="00CC51E2">
        <w:rPr>
          <w:rFonts w:ascii="Arial" w:hAnsi="Arial" w:cs="Arial"/>
          <w:sz w:val="20"/>
          <w:szCs w:val="20"/>
        </w:rPr>
        <w:t>nd</w:t>
      </w:r>
      <w:r w:rsidRPr="00CC51E2">
        <w:rPr>
          <w:rFonts w:ascii="Arial" w:hAnsi="Arial" w:cs="Arial"/>
          <w:sz w:val="20"/>
          <w:szCs w:val="20"/>
        </w:rPr>
        <w:t>amiento del Local ubicado en Ciudad Bolívar para el desarrollo de la misionalidad de la entidad.</w:t>
      </w:r>
    </w:p>
    <w:p w:rsidR="003846A6" w:rsidRPr="00CC51E2" w:rsidRDefault="003846A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lastRenderedPageBreak/>
        <w:t>Gestión d</w:t>
      </w:r>
      <w:r w:rsidR="007B53F6" w:rsidRPr="00CC51E2">
        <w:rPr>
          <w:rFonts w:ascii="Arial" w:hAnsi="Arial" w:cs="Arial"/>
          <w:sz w:val="20"/>
          <w:szCs w:val="20"/>
        </w:rPr>
        <w:t>el arrendamiento del local destinado al Archivo Central de la CVP.</w:t>
      </w:r>
    </w:p>
    <w:p w:rsidR="007B53F6" w:rsidRPr="00CC51E2" w:rsidRDefault="007B53F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 xml:space="preserve">Gestión del Arrendamiento del local ubicado al lado del </w:t>
      </w:r>
      <w:r w:rsidR="00042B68" w:rsidRPr="00CC51E2">
        <w:rPr>
          <w:rFonts w:ascii="Arial" w:hAnsi="Arial" w:cs="Arial"/>
          <w:sz w:val="20"/>
          <w:szCs w:val="20"/>
        </w:rPr>
        <w:t>Edificio de la CVP en Chapinero.</w:t>
      </w:r>
    </w:p>
    <w:p w:rsidR="008C6F4A" w:rsidRPr="00CC51E2" w:rsidRDefault="008C6F4A"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 xml:space="preserve">Realizar el seguimiento y control de la correspondencia externa enviada de la Entidad que allegan todas las dependencias de la Caja de la Vivienda Popular, tanto misionales como </w:t>
      </w:r>
      <w:r w:rsidR="002F2A67" w:rsidRPr="00CC51E2">
        <w:rPr>
          <w:rFonts w:ascii="Arial" w:hAnsi="Arial" w:cs="Arial"/>
          <w:sz w:val="20"/>
          <w:szCs w:val="20"/>
        </w:rPr>
        <w:t>administrativas</w:t>
      </w:r>
      <w:r w:rsidRPr="00CC51E2">
        <w:rPr>
          <w:rFonts w:ascii="Arial" w:hAnsi="Arial" w:cs="Arial"/>
          <w:sz w:val="20"/>
          <w:szCs w:val="20"/>
        </w:rPr>
        <w:t>.</w:t>
      </w:r>
    </w:p>
    <w:p w:rsidR="00EB1306" w:rsidRPr="00CC51E2" w:rsidRDefault="00EB1306" w:rsidP="00FD0B48">
      <w:pPr>
        <w:spacing w:after="0" w:line="312" w:lineRule="auto"/>
        <w:ind w:left="357"/>
        <w:jc w:val="both"/>
        <w:rPr>
          <w:rFonts w:ascii="Arial" w:hAnsi="Arial" w:cs="Arial"/>
          <w:sz w:val="20"/>
          <w:szCs w:val="20"/>
        </w:rPr>
      </w:pPr>
    </w:p>
    <w:p w:rsidR="00D22E06" w:rsidRPr="00CC51E2" w:rsidRDefault="00FD0B48"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Por otra parte, respecto al </w:t>
      </w:r>
      <w:r w:rsidRPr="00CC51E2">
        <w:rPr>
          <w:rFonts w:ascii="Arial" w:hAnsi="Arial" w:cs="Arial"/>
          <w:b/>
          <w:sz w:val="20"/>
          <w:szCs w:val="20"/>
        </w:rPr>
        <w:t>fortalecimiento de la Administración de los Bienes Inmuebles</w:t>
      </w:r>
      <w:r w:rsidRPr="00CC51E2">
        <w:rPr>
          <w:rFonts w:ascii="Arial" w:hAnsi="Arial" w:cs="Arial"/>
          <w:sz w:val="20"/>
          <w:szCs w:val="20"/>
        </w:rPr>
        <w:t xml:space="preserve"> de la Entidad</w:t>
      </w:r>
      <w:r w:rsidR="00FD6E40" w:rsidRPr="00CC51E2">
        <w:rPr>
          <w:rFonts w:ascii="Arial" w:hAnsi="Arial" w:cs="Arial"/>
          <w:sz w:val="20"/>
          <w:szCs w:val="20"/>
        </w:rPr>
        <w:t xml:space="preserve">, se destaca </w:t>
      </w:r>
      <w:r w:rsidR="00042B68" w:rsidRPr="00CC51E2">
        <w:rPr>
          <w:rFonts w:ascii="Arial" w:hAnsi="Arial" w:cs="Arial"/>
          <w:sz w:val="20"/>
          <w:szCs w:val="20"/>
        </w:rPr>
        <w:t xml:space="preserve">la realización de </w:t>
      </w:r>
      <w:r w:rsidR="00FD6E40" w:rsidRPr="00CC51E2">
        <w:rPr>
          <w:rFonts w:ascii="Arial" w:hAnsi="Arial" w:cs="Arial"/>
          <w:sz w:val="20"/>
          <w:szCs w:val="20"/>
        </w:rPr>
        <w:t>mejoramiento de las herramientas para el seguimiento y control del saneamiento de los mismos, implementando el nuevo formato para la descripción de las características</w:t>
      </w:r>
      <w:r w:rsidR="00BA265F" w:rsidRPr="00CC51E2">
        <w:rPr>
          <w:rFonts w:ascii="Arial" w:hAnsi="Arial" w:cs="Arial"/>
          <w:sz w:val="20"/>
          <w:szCs w:val="20"/>
        </w:rPr>
        <w:t xml:space="preserve"> de estos que permite la entrega de información técnica solicitada</w:t>
      </w:r>
      <w:r w:rsidR="00561FE1" w:rsidRPr="00CC51E2">
        <w:rPr>
          <w:rFonts w:ascii="Arial" w:hAnsi="Arial" w:cs="Arial"/>
          <w:sz w:val="20"/>
          <w:szCs w:val="20"/>
        </w:rPr>
        <w:t>,</w:t>
      </w:r>
      <w:r w:rsidR="00BA265F" w:rsidRPr="00CC51E2">
        <w:rPr>
          <w:rFonts w:ascii="Arial" w:hAnsi="Arial" w:cs="Arial"/>
          <w:sz w:val="20"/>
          <w:szCs w:val="20"/>
        </w:rPr>
        <w:t xml:space="preserve"> en especial por</w:t>
      </w:r>
      <w:r w:rsidR="00561FE1" w:rsidRPr="00CC51E2">
        <w:rPr>
          <w:rFonts w:ascii="Arial" w:hAnsi="Arial" w:cs="Arial"/>
          <w:sz w:val="20"/>
          <w:szCs w:val="20"/>
        </w:rPr>
        <w:t xml:space="preserve"> la Subdirección Financiera</w:t>
      </w:r>
      <w:r w:rsidR="00BA265F" w:rsidRPr="00CC51E2">
        <w:rPr>
          <w:rFonts w:ascii="Arial" w:hAnsi="Arial" w:cs="Arial"/>
          <w:sz w:val="20"/>
          <w:szCs w:val="20"/>
        </w:rPr>
        <w:t xml:space="preserve"> en el proceso de convergencia hacia el nue</w:t>
      </w:r>
      <w:r w:rsidR="00561FE1" w:rsidRPr="00CC51E2">
        <w:rPr>
          <w:rFonts w:ascii="Arial" w:hAnsi="Arial" w:cs="Arial"/>
          <w:sz w:val="20"/>
          <w:szCs w:val="20"/>
        </w:rPr>
        <w:t>vo marco de regulación contable</w:t>
      </w:r>
      <w:r w:rsidR="00BA265F" w:rsidRPr="00CC51E2">
        <w:rPr>
          <w:rFonts w:ascii="Arial" w:hAnsi="Arial" w:cs="Arial"/>
          <w:sz w:val="20"/>
          <w:szCs w:val="20"/>
        </w:rPr>
        <w:t xml:space="preserve"> expedido por la Contaduría General de la Nación</w:t>
      </w:r>
      <w:r w:rsidR="00FD6E40" w:rsidRPr="00CC51E2">
        <w:rPr>
          <w:rFonts w:ascii="Arial" w:hAnsi="Arial" w:cs="Arial"/>
          <w:sz w:val="20"/>
          <w:szCs w:val="20"/>
        </w:rPr>
        <w:t>, así como el formato</w:t>
      </w:r>
      <w:r w:rsidR="003F4EBC" w:rsidRPr="00CC51E2">
        <w:rPr>
          <w:rFonts w:ascii="Arial" w:hAnsi="Arial" w:cs="Arial"/>
          <w:sz w:val="20"/>
          <w:szCs w:val="20"/>
        </w:rPr>
        <w:t xml:space="preserve"> Plan de </w:t>
      </w:r>
      <w:r w:rsidR="00AD51BF" w:rsidRPr="00CC51E2">
        <w:rPr>
          <w:rFonts w:ascii="Arial" w:hAnsi="Arial" w:cs="Arial"/>
          <w:sz w:val="20"/>
          <w:szCs w:val="20"/>
        </w:rPr>
        <w:t>T</w:t>
      </w:r>
      <w:r w:rsidR="003F4EBC" w:rsidRPr="00CC51E2">
        <w:rPr>
          <w:rFonts w:ascii="Arial" w:hAnsi="Arial" w:cs="Arial"/>
          <w:sz w:val="20"/>
          <w:szCs w:val="20"/>
        </w:rPr>
        <w:t>rabajo para el Saneamiento de los Predios de propiedad de la Caja de la Vivienda Popular</w:t>
      </w:r>
      <w:r w:rsidR="00561FE1" w:rsidRPr="00CC51E2">
        <w:rPr>
          <w:rFonts w:ascii="Arial" w:hAnsi="Arial" w:cs="Arial"/>
          <w:sz w:val="20"/>
          <w:szCs w:val="20"/>
        </w:rPr>
        <w:t>,</w:t>
      </w:r>
      <w:r w:rsidR="003F4EBC" w:rsidRPr="00CC51E2">
        <w:rPr>
          <w:rFonts w:ascii="Arial" w:hAnsi="Arial" w:cs="Arial"/>
          <w:sz w:val="20"/>
          <w:szCs w:val="20"/>
        </w:rPr>
        <w:t xml:space="preserve"> </w:t>
      </w:r>
      <w:r w:rsidR="00AD51BF" w:rsidRPr="00CC51E2">
        <w:rPr>
          <w:rFonts w:ascii="Arial" w:hAnsi="Arial" w:cs="Arial"/>
          <w:sz w:val="20"/>
          <w:szCs w:val="20"/>
        </w:rPr>
        <w:t>con el fin</w:t>
      </w:r>
      <w:r w:rsidR="00FD6E40" w:rsidRPr="00CC51E2">
        <w:rPr>
          <w:rFonts w:ascii="Arial" w:hAnsi="Arial" w:cs="Arial"/>
          <w:sz w:val="20"/>
          <w:szCs w:val="20"/>
        </w:rPr>
        <w:t xml:space="preserve"> que la dependencias con responsabilidad respecto </w:t>
      </w:r>
      <w:r w:rsidR="007869B3" w:rsidRPr="00CC51E2">
        <w:rPr>
          <w:rFonts w:ascii="Arial" w:hAnsi="Arial" w:cs="Arial"/>
          <w:sz w:val="20"/>
          <w:szCs w:val="20"/>
        </w:rPr>
        <w:t>a</w:t>
      </w:r>
      <w:r w:rsidR="00FD6E40" w:rsidRPr="00CC51E2">
        <w:rPr>
          <w:rFonts w:ascii="Arial" w:hAnsi="Arial" w:cs="Arial"/>
          <w:sz w:val="20"/>
          <w:szCs w:val="20"/>
        </w:rPr>
        <w:t xml:space="preserve"> los bienes inmuebles</w:t>
      </w:r>
      <w:r w:rsidR="00561FE1" w:rsidRPr="00CC51E2">
        <w:rPr>
          <w:rFonts w:ascii="Arial" w:hAnsi="Arial" w:cs="Arial"/>
          <w:sz w:val="20"/>
          <w:szCs w:val="20"/>
        </w:rPr>
        <w:t>,</w:t>
      </w:r>
      <w:r w:rsidR="00FD6E40" w:rsidRPr="00CC51E2">
        <w:rPr>
          <w:rFonts w:ascii="Arial" w:hAnsi="Arial" w:cs="Arial"/>
          <w:sz w:val="20"/>
          <w:szCs w:val="20"/>
        </w:rPr>
        <w:t xml:space="preserve"> plasmen las actividades para el saneamiento de los mismos y</w:t>
      </w:r>
      <w:r w:rsidR="007869B3" w:rsidRPr="00CC51E2">
        <w:rPr>
          <w:rFonts w:ascii="Arial" w:hAnsi="Arial" w:cs="Arial"/>
          <w:sz w:val="20"/>
          <w:szCs w:val="20"/>
        </w:rPr>
        <w:t xml:space="preserve"> así</w:t>
      </w:r>
      <w:r w:rsidR="00FD6E40" w:rsidRPr="00CC51E2">
        <w:rPr>
          <w:rFonts w:ascii="Arial" w:hAnsi="Arial" w:cs="Arial"/>
          <w:sz w:val="20"/>
          <w:szCs w:val="20"/>
        </w:rPr>
        <w:t xml:space="preserve"> poder realizar seguimiento a dichos planes.</w:t>
      </w:r>
      <w:r w:rsidR="00342809" w:rsidRPr="00CC51E2">
        <w:rPr>
          <w:rFonts w:ascii="Arial" w:hAnsi="Arial" w:cs="Arial"/>
          <w:sz w:val="20"/>
          <w:szCs w:val="20"/>
        </w:rPr>
        <w:t xml:space="preserve"> Es importante mencionar que las únicas dependencias que han allegado sus planes de trabajo han sido la Subdirección Financiera y la Dirección Jurídica.</w:t>
      </w:r>
    </w:p>
    <w:p w:rsidR="006D46EA" w:rsidRPr="00CC51E2" w:rsidRDefault="006D46EA" w:rsidP="00FD0B48">
      <w:pPr>
        <w:pStyle w:val="Prrafodelista"/>
        <w:spacing w:after="0" w:line="312" w:lineRule="auto"/>
        <w:ind w:left="357"/>
        <w:jc w:val="both"/>
        <w:rPr>
          <w:rFonts w:ascii="Arial" w:hAnsi="Arial" w:cs="Arial"/>
          <w:sz w:val="20"/>
          <w:szCs w:val="20"/>
        </w:rPr>
      </w:pPr>
    </w:p>
    <w:p w:rsidR="006D46EA" w:rsidRPr="00CC51E2" w:rsidRDefault="003F6A5E"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atención a la </w:t>
      </w:r>
      <w:r w:rsidRPr="00CC51E2">
        <w:rPr>
          <w:rFonts w:ascii="Arial" w:hAnsi="Arial" w:cs="Arial"/>
          <w:b/>
          <w:sz w:val="20"/>
          <w:szCs w:val="20"/>
        </w:rPr>
        <w:t>Administración del inventario de bienes muebles</w:t>
      </w:r>
      <w:r w:rsidRPr="00CC51E2">
        <w:rPr>
          <w:rFonts w:ascii="Arial" w:hAnsi="Arial" w:cs="Arial"/>
          <w:sz w:val="20"/>
          <w:szCs w:val="20"/>
        </w:rPr>
        <w:t xml:space="preserve">, se ha depurado </w:t>
      </w:r>
      <w:r w:rsidR="00042B68" w:rsidRPr="00CC51E2">
        <w:rPr>
          <w:rFonts w:ascii="Arial" w:hAnsi="Arial" w:cs="Arial"/>
          <w:sz w:val="20"/>
          <w:szCs w:val="20"/>
        </w:rPr>
        <w:t xml:space="preserve">la información y los inventarios </w:t>
      </w:r>
      <w:r w:rsidRPr="00CC51E2">
        <w:rPr>
          <w:rFonts w:ascii="Arial" w:hAnsi="Arial" w:cs="Arial"/>
          <w:sz w:val="20"/>
          <w:szCs w:val="20"/>
        </w:rPr>
        <w:t>realiza</w:t>
      </w:r>
      <w:r w:rsidR="00042B68" w:rsidRPr="00CC51E2">
        <w:rPr>
          <w:rFonts w:ascii="Arial" w:hAnsi="Arial" w:cs="Arial"/>
          <w:sz w:val="20"/>
          <w:szCs w:val="20"/>
        </w:rPr>
        <w:t>n</w:t>
      </w:r>
      <w:r w:rsidRPr="00CC51E2">
        <w:rPr>
          <w:rFonts w:ascii="Arial" w:hAnsi="Arial" w:cs="Arial"/>
          <w:sz w:val="20"/>
          <w:szCs w:val="20"/>
        </w:rPr>
        <w:t>do la baja de 336 elementos tales como puesto</w:t>
      </w:r>
      <w:r w:rsidR="00CD6A8C" w:rsidRPr="00CC51E2">
        <w:rPr>
          <w:rFonts w:ascii="Arial" w:hAnsi="Arial" w:cs="Arial"/>
          <w:sz w:val="20"/>
          <w:szCs w:val="20"/>
        </w:rPr>
        <w:t>s</w:t>
      </w:r>
      <w:r w:rsidRPr="00CC51E2">
        <w:rPr>
          <w:rFonts w:ascii="Arial" w:hAnsi="Arial" w:cs="Arial"/>
          <w:sz w:val="20"/>
          <w:szCs w:val="20"/>
        </w:rPr>
        <w:t xml:space="preserve"> de trabajo, sillas, mesas, bibliotecas, computadores, impresoras etc., los cuales se encontraban depreciados y </w:t>
      </w:r>
      <w:r w:rsidR="00CD6A8C" w:rsidRPr="00CC51E2">
        <w:rPr>
          <w:rFonts w:ascii="Arial" w:hAnsi="Arial" w:cs="Arial"/>
          <w:sz w:val="20"/>
          <w:szCs w:val="20"/>
        </w:rPr>
        <w:t>deteriorados</w:t>
      </w:r>
      <w:r w:rsidR="007376F5" w:rsidRPr="00CC51E2">
        <w:rPr>
          <w:rFonts w:ascii="Arial" w:hAnsi="Arial" w:cs="Arial"/>
          <w:sz w:val="20"/>
          <w:szCs w:val="20"/>
        </w:rPr>
        <w:t>.</w:t>
      </w:r>
    </w:p>
    <w:p w:rsidR="00F57BBB" w:rsidRPr="00CC51E2" w:rsidRDefault="00F57BBB" w:rsidP="00FD0B48">
      <w:pPr>
        <w:pStyle w:val="Prrafodelista"/>
        <w:spacing w:after="0" w:line="312" w:lineRule="auto"/>
        <w:ind w:left="357"/>
        <w:jc w:val="both"/>
        <w:rPr>
          <w:rFonts w:ascii="Arial" w:hAnsi="Arial" w:cs="Arial"/>
          <w:sz w:val="20"/>
          <w:szCs w:val="20"/>
        </w:rPr>
      </w:pPr>
    </w:p>
    <w:p w:rsidR="00F57BBB" w:rsidRPr="00CC51E2" w:rsidRDefault="00531AA9"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Además de lo anterior, se resalta que la Dirección de Gestión Corporativa y CID elaboró y comunicó la Resolución 2904 del 29 de junio de 2017, por medio de la cual se organiza el comité Técnico de Inventarios</w:t>
      </w:r>
      <w:r w:rsidR="00F57BBB" w:rsidRPr="00CC51E2">
        <w:rPr>
          <w:rFonts w:ascii="Arial" w:hAnsi="Arial" w:cs="Arial"/>
          <w:sz w:val="20"/>
          <w:szCs w:val="20"/>
        </w:rPr>
        <w:t xml:space="preserve"> </w:t>
      </w:r>
      <w:r w:rsidRPr="00CC51E2">
        <w:rPr>
          <w:rFonts w:ascii="Arial" w:hAnsi="Arial" w:cs="Arial"/>
          <w:sz w:val="20"/>
          <w:szCs w:val="20"/>
        </w:rPr>
        <w:t xml:space="preserve">de </w:t>
      </w:r>
      <w:r w:rsidR="00042B68" w:rsidRPr="00CC51E2">
        <w:rPr>
          <w:rFonts w:ascii="Arial" w:hAnsi="Arial" w:cs="Arial"/>
          <w:sz w:val="20"/>
          <w:szCs w:val="20"/>
        </w:rPr>
        <w:t>B</w:t>
      </w:r>
      <w:r w:rsidRPr="00CC51E2">
        <w:rPr>
          <w:rFonts w:ascii="Arial" w:hAnsi="Arial" w:cs="Arial"/>
          <w:sz w:val="20"/>
          <w:szCs w:val="20"/>
        </w:rPr>
        <w:t xml:space="preserve">ienes </w:t>
      </w:r>
      <w:r w:rsidR="00042B68" w:rsidRPr="00CC51E2">
        <w:rPr>
          <w:rFonts w:ascii="Arial" w:hAnsi="Arial" w:cs="Arial"/>
          <w:sz w:val="20"/>
          <w:szCs w:val="20"/>
        </w:rPr>
        <w:t>M</w:t>
      </w:r>
      <w:r w:rsidRPr="00CC51E2">
        <w:rPr>
          <w:rFonts w:ascii="Arial" w:hAnsi="Arial" w:cs="Arial"/>
          <w:sz w:val="20"/>
          <w:szCs w:val="20"/>
        </w:rPr>
        <w:t xml:space="preserve">uebles e </w:t>
      </w:r>
      <w:r w:rsidR="00042B68" w:rsidRPr="00CC51E2">
        <w:rPr>
          <w:rFonts w:ascii="Arial" w:hAnsi="Arial" w:cs="Arial"/>
          <w:sz w:val="20"/>
          <w:szCs w:val="20"/>
        </w:rPr>
        <w:t>I</w:t>
      </w:r>
      <w:r w:rsidRPr="00CC51E2">
        <w:rPr>
          <w:rFonts w:ascii="Arial" w:hAnsi="Arial" w:cs="Arial"/>
          <w:sz w:val="20"/>
          <w:szCs w:val="20"/>
        </w:rPr>
        <w:t>nmuebles de la Caja de la Vivienda Popular.</w:t>
      </w:r>
    </w:p>
    <w:p w:rsidR="006574B8" w:rsidRPr="00CC51E2" w:rsidRDefault="006574B8" w:rsidP="00FD0B48">
      <w:pPr>
        <w:pStyle w:val="Prrafodelista"/>
        <w:spacing w:after="0" w:line="312" w:lineRule="auto"/>
        <w:ind w:left="357"/>
        <w:jc w:val="both"/>
        <w:rPr>
          <w:rFonts w:ascii="Arial" w:hAnsi="Arial" w:cs="Arial"/>
          <w:sz w:val="20"/>
          <w:szCs w:val="20"/>
        </w:rPr>
      </w:pPr>
    </w:p>
    <w:p w:rsidR="006574B8" w:rsidRPr="00CC51E2" w:rsidRDefault="006574B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Finalmente, para la </w:t>
      </w:r>
      <w:r w:rsidRPr="00CC51E2">
        <w:rPr>
          <w:rFonts w:ascii="Arial" w:hAnsi="Arial" w:cs="Arial"/>
          <w:b/>
          <w:sz w:val="20"/>
          <w:szCs w:val="20"/>
        </w:rPr>
        <w:t>gestión de la actividad de los Planes de Mejoramiento</w:t>
      </w:r>
      <w:r w:rsidRPr="00CC51E2">
        <w:rPr>
          <w:rFonts w:ascii="Arial" w:hAnsi="Arial" w:cs="Arial"/>
          <w:sz w:val="20"/>
          <w:szCs w:val="20"/>
        </w:rPr>
        <w:t xml:space="preserve"> del Proceso, es importante mencionar que la Oficina de Control Interno no tenía claridad de los hallazgos que se encentraban vigentes, por tal razón se solicitó en el marco de la comunicación interna de solicitud de corrección de la evaluación de gestión, que se indique los hallazgos que están vigentes.</w:t>
      </w:r>
    </w:p>
    <w:p w:rsidR="006574B8" w:rsidRPr="00CC51E2" w:rsidRDefault="006574B8" w:rsidP="006574B8">
      <w:pPr>
        <w:pStyle w:val="Prrafodelista"/>
        <w:spacing w:after="0" w:line="312" w:lineRule="auto"/>
        <w:ind w:left="357"/>
        <w:jc w:val="both"/>
        <w:rPr>
          <w:rFonts w:ascii="Arial" w:hAnsi="Arial" w:cs="Arial"/>
          <w:sz w:val="20"/>
          <w:szCs w:val="20"/>
        </w:rPr>
      </w:pPr>
    </w:p>
    <w:p w:rsidR="006574B8" w:rsidRPr="00CC51E2" w:rsidRDefault="006574B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En consecuencia, en el marco de dicha solicitud, se desarrolló una reunión con la Oficina de Control Interno y</w:t>
      </w:r>
      <w:r w:rsidR="009468D8" w:rsidRPr="00CC51E2">
        <w:rPr>
          <w:rFonts w:ascii="Arial" w:hAnsi="Arial" w:cs="Arial"/>
          <w:sz w:val="20"/>
          <w:szCs w:val="20"/>
        </w:rPr>
        <w:t xml:space="preserve"> la Subdirección Administrativa, </w:t>
      </w:r>
      <w:r w:rsidRPr="00CC51E2">
        <w:rPr>
          <w:rFonts w:ascii="Arial" w:hAnsi="Arial" w:cs="Arial"/>
          <w:sz w:val="20"/>
          <w:szCs w:val="20"/>
        </w:rPr>
        <w:t>lo que permitió identificar los mismos y estructurar las acciones de mejora pertinentes.</w:t>
      </w:r>
    </w:p>
    <w:p w:rsidR="009468D8" w:rsidRPr="00CC51E2" w:rsidRDefault="009468D8" w:rsidP="006574B8">
      <w:pPr>
        <w:pStyle w:val="Prrafodelista"/>
        <w:spacing w:after="0" w:line="312" w:lineRule="auto"/>
        <w:ind w:left="357"/>
        <w:jc w:val="both"/>
        <w:rPr>
          <w:rFonts w:ascii="Arial" w:hAnsi="Arial" w:cs="Arial"/>
          <w:sz w:val="20"/>
          <w:szCs w:val="20"/>
        </w:rPr>
      </w:pPr>
    </w:p>
    <w:p w:rsidR="009468D8" w:rsidRPr="00CC51E2" w:rsidRDefault="009468D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Es menester señalar que </w:t>
      </w:r>
      <w:r w:rsidR="00AF68CC" w:rsidRPr="00CC51E2">
        <w:rPr>
          <w:rFonts w:ascii="Arial" w:hAnsi="Arial" w:cs="Arial"/>
          <w:sz w:val="20"/>
          <w:szCs w:val="20"/>
        </w:rPr>
        <w:t>como la Subdirección Administrativa formuló como Acción Preventiva la actividad de división o emancipación de la gestión Administrativa del proceso de Administración y Control de Recursos</w:t>
      </w:r>
      <w:r w:rsidR="003932B9" w:rsidRPr="00CC51E2">
        <w:rPr>
          <w:rFonts w:ascii="Arial" w:hAnsi="Arial" w:cs="Arial"/>
          <w:sz w:val="20"/>
          <w:szCs w:val="20"/>
        </w:rPr>
        <w:t>,</w:t>
      </w:r>
      <w:r w:rsidR="00AF68CC" w:rsidRPr="00CC51E2">
        <w:rPr>
          <w:rFonts w:ascii="Arial" w:hAnsi="Arial" w:cs="Arial"/>
          <w:sz w:val="20"/>
          <w:szCs w:val="20"/>
        </w:rPr>
        <w:t xml:space="preserve"> en aras de dar efectividad a las acciones contenidas en las diferentes herramientas de gestión, seguimiento y control.</w:t>
      </w:r>
    </w:p>
    <w:p w:rsidR="000B60C3" w:rsidRPr="00CC51E2" w:rsidRDefault="000B60C3" w:rsidP="00FD0B48">
      <w:pPr>
        <w:pStyle w:val="Prrafodelista"/>
        <w:spacing w:after="0" w:line="312" w:lineRule="auto"/>
        <w:ind w:left="357"/>
        <w:jc w:val="both"/>
        <w:rPr>
          <w:rFonts w:ascii="Arial" w:hAnsi="Arial" w:cs="Arial"/>
          <w:sz w:val="20"/>
          <w:szCs w:val="20"/>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lastRenderedPageBreak/>
        <w:t>Proceso de Gestión Documental.</w:t>
      </w:r>
    </w:p>
    <w:p w:rsidR="00C91D8A" w:rsidRPr="00CC51E2" w:rsidRDefault="00C91D8A" w:rsidP="00C91D8A">
      <w:pPr>
        <w:spacing w:after="0" w:line="240" w:lineRule="auto"/>
        <w:ind w:left="360"/>
        <w:rPr>
          <w:rFonts w:ascii="Arial" w:hAnsi="Arial" w:cs="Arial"/>
          <w:b/>
          <w:color w:val="4F81BD" w:themeColor="accent1"/>
          <w:sz w:val="20"/>
          <w:szCs w:val="20"/>
          <w:u w:val="single"/>
        </w:rPr>
      </w:pPr>
    </w:p>
    <w:p w:rsidR="00C91D8A" w:rsidRPr="00CC51E2" w:rsidRDefault="00C91D8A" w:rsidP="0069409B">
      <w:pPr>
        <w:spacing w:after="0" w:line="312" w:lineRule="auto"/>
        <w:ind w:left="360"/>
        <w:jc w:val="both"/>
        <w:rPr>
          <w:rFonts w:ascii="Arial" w:hAnsi="Arial" w:cs="Arial"/>
          <w:sz w:val="20"/>
          <w:szCs w:val="20"/>
        </w:rPr>
      </w:pPr>
      <w:r w:rsidRPr="00CC51E2">
        <w:rPr>
          <w:rFonts w:ascii="Arial" w:hAnsi="Arial" w:cs="Arial"/>
          <w:sz w:val="20"/>
          <w:szCs w:val="20"/>
        </w:rPr>
        <w:t>Este proceso</w:t>
      </w:r>
      <w:r w:rsidR="00A64869" w:rsidRPr="00CC51E2">
        <w:rPr>
          <w:rFonts w:ascii="Arial" w:hAnsi="Arial" w:cs="Arial"/>
          <w:sz w:val="20"/>
          <w:szCs w:val="20"/>
        </w:rPr>
        <w:t xml:space="preserve"> se separó del proceso de Administración de la </w:t>
      </w:r>
      <w:r w:rsidR="00637C58" w:rsidRPr="00CC51E2">
        <w:rPr>
          <w:rFonts w:ascii="Arial" w:hAnsi="Arial" w:cs="Arial"/>
          <w:sz w:val="20"/>
          <w:szCs w:val="20"/>
        </w:rPr>
        <w:t>I</w:t>
      </w:r>
      <w:r w:rsidR="00A64869" w:rsidRPr="00CC51E2">
        <w:rPr>
          <w:rFonts w:ascii="Arial" w:hAnsi="Arial" w:cs="Arial"/>
          <w:sz w:val="20"/>
          <w:szCs w:val="20"/>
        </w:rPr>
        <w:t>nforma</w:t>
      </w:r>
      <w:r w:rsidR="00637C58" w:rsidRPr="00CC51E2">
        <w:rPr>
          <w:rFonts w:ascii="Arial" w:hAnsi="Arial" w:cs="Arial"/>
          <w:sz w:val="20"/>
          <w:szCs w:val="20"/>
        </w:rPr>
        <w:t xml:space="preserve">ción, el cual dejó de existir, </w:t>
      </w:r>
      <w:r w:rsidR="00A64869" w:rsidRPr="00CC51E2">
        <w:rPr>
          <w:rFonts w:ascii="Arial" w:hAnsi="Arial" w:cs="Arial"/>
          <w:sz w:val="20"/>
          <w:szCs w:val="20"/>
        </w:rPr>
        <w:t>ya que se creó el Proceso d</w:t>
      </w:r>
      <w:r w:rsidR="00637C58" w:rsidRPr="00CC51E2">
        <w:rPr>
          <w:rFonts w:ascii="Arial" w:hAnsi="Arial" w:cs="Arial"/>
          <w:sz w:val="20"/>
          <w:szCs w:val="20"/>
        </w:rPr>
        <w:t>e Tecnologías de Información y C</w:t>
      </w:r>
      <w:r w:rsidR="00A64869" w:rsidRPr="00CC51E2">
        <w:rPr>
          <w:rFonts w:ascii="Arial" w:hAnsi="Arial" w:cs="Arial"/>
          <w:sz w:val="20"/>
          <w:szCs w:val="20"/>
        </w:rPr>
        <w:t>omunicación (TIC)</w:t>
      </w:r>
      <w:r w:rsidRPr="00CC51E2">
        <w:rPr>
          <w:rFonts w:ascii="Arial" w:hAnsi="Arial" w:cs="Arial"/>
          <w:sz w:val="20"/>
          <w:szCs w:val="20"/>
        </w:rPr>
        <w:t xml:space="preserve"> </w:t>
      </w:r>
      <w:r w:rsidR="0069409B" w:rsidRPr="00CC51E2">
        <w:rPr>
          <w:rFonts w:ascii="Arial" w:hAnsi="Arial" w:cs="Arial"/>
          <w:sz w:val="20"/>
          <w:szCs w:val="20"/>
        </w:rPr>
        <w:t>y el de Gestión Documental, los avances obte</w:t>
      </w:r>
      <w:r w:rsidR="00933D99" w:rsidRPr="00CC51E2">
        <w:rPr>
          <w:rFonts w:ascii="Arial" w:hAnsi="Arial" w:cs="Arial"/>
          <w:sz w:val="20"/>
          <w:szCs w:val="20"/>
        </w:rPr>
        <w:t>nidos en la gestión por parte de la Subdirección Administrativa son los siguientes:</w:t>
      </w:r>
    </w:p>
    <w:p w:rsidR="00933D99" w:rsidRPr="00CC51E2" w:rsidRDefault="00933D99" w:rsidP="0069409B">
      <w:pPr>
        <w:spacing w:after="0" w:line="312" w:lineRule="auto"/>
        <w:ind w:left="360"/>
        <w:jc w:val="both"/>
        <w:rPr>
          <w:rFonts w:ascii="Arial" w:hAnsi="Arial" w:cs="Arial"/>
          <w:sz w:val="20"/>
          <w:szCs w:val="20"/>
        </w:rPr>
      </w:pPr>
    </w:p>
    <w:p w:rsidR="00933D99" w:rsidRPr="00CC51E2" w:rsidRDefault="00933D99"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Aprobación </w:t>
      </w:r>
      <w:r w:rsidR="00637C58" w:rsidRPr="00CC51E2">
        <w:rPr>
          <w:rFonts w:ascii="Arial" w:hAnsi="Arial" w:cs="Arial"/>
          <w:b/>
          <w:sz w:val="20"/>
          <w:szCs w:val="20"/>
        </w:rPr>
        <w:t xml:space="preserve">del nuevo Proceso </w:t>
      </w:r>
      <w:r w:rsidRPr="00CC51E2">
        <w:rPr>
          <w:rFonts w:ascii="Arial" w:hAnsi="Arial" w:cs="Arial"/>
          <w:b/>
          <w:sz w:val="20"/>
          <w:szCs w:val="20"/>
        </w:rPr>
        <w:t xml:space="preserve">por parte del Comité Directivo y del Sistema Integrado de </w:t>
      </w:r>
      <w:r w:rsidR="000935F5" w:rsidRPr="00CC51E2">
        <w:rPr>
          <w:rFonts w:ascii="Arial" w:hAnsi="Arial" w:cs="Arial"/>
          <w:b/>
          <w:sz w:val="20"/>
          <w:szCs w:val="20"/>
        </w:rPr>
        <w:t>Gestión,</w:t>
      </w:r>
      <w:r w:rsidRPr="00CC51E2">
        <w:rPr>
          <w:rFonts w:ascii="Arial" w:hAnsi="Arial" w:cs="Arial"/>
          <w:b/>
          <w:sz w:val="20"/>
          <w:szCs w:val="20"/>
        </w:rPr>
        <w:t xml:space="preserve"> así como el de las Tablas de Retenci</w:t>
      </w:r>
      <w:r w:rsidR="00231106" w:rsidRPr="00CC51E2">
        <w:rPr>
          <w:rFonts w:ascii="Arial" w:hAnsi="Arial" w:cs="Arial"/>
          <w:b/>
          <w:sz w:val="20"/>
          <w:szCs w:val="20"/>
        </w:rPr>
        <w:t>ón Documental</w:t>
      </w:r>
      <w:r w:rsidR="00231106" w:rsidRPr="00CC51E2">
        <w:rPr>
          <w:rFonts w:ascii="Arial" w:hAnsi="Arial" w:cs="Arial"/>
          <w:sz w:val="20"/>
          <w:szCs w:val="20"/>
        </w:rPr>
        <w:t xml:space="preserve">: </w:t>
      </w:r>
      <w:r w:rsidR="0063630B" w:rsidRPr="00CC51E2">
        <w:rPr>
          <w:rFonts w:ascii="Arial" w:hAnsi="Arial" w:cs="Arial"/>
          <w:sz w:val="20"/>
          <w:szCs w:val="20"/>
        </w:rPr>
        <w:t>A</w:t>
      </w:r>
      <w:r w:rsidR="00231106" w:rsidRPr="00CC51E2">
        <w:rPr>
          <w:rFonts w:ascii="Arial" w:hAnsi="Arial" w:cs="Arial"/>
          <w:sz w:val="20"/>
          <w:szCs w:val="20"/>
        </w:rPr>
        <w:t xml:space="preserve"> partir de reuniones y mesas de trabajo con cada dependencia y grupo interno</w:t>
      </w:r>
      <w:r w:rsidR="00043EF4" w:rsidRPr="00CC51E2">
        <w:rPr>
          <w:rFonts w:ascii="Arial" w:hAnsi="Arial" w:cs="Arial"/>
          <w:sz w:val="20"/>
          <w:szCs w:val="20"/>
        </w:rPr>
        <w:t>, p</w:t>
      </w:r>
      <w:r w:rsidR="00231106" w:rsidRPr="00CC51E2">
        <w:rPr>
          <w:rFonts w:ascii="Arial" w:hAnsi="Arial" w:cs="Arial"/>
          <w:sz w:val="20"/>
          <w:szCs w:val="20"/>
        </w:rPr>
        <w:t xml:space="preserve">resentación y sustentación ante el Subcomité de Gestión Documental y Administración de la Información y ante el Comité del Sistema Integrado </w:t>
      </w:r>
      <w:r w:rsidR="00043EF4" w:rsidRPr="00CC51E2">
        <w:rPr>
          <w:rFonts w:ascii="Arial" w:hAnsi="Arial" w:cs="Arial"/>
          <w:sz w:val="20"/>
          <w:szCs w:val="20"/>
        </w:rPr>
        <w:t>de Gestión, así como la r</w:t>
      </w:r>
      <w:r w:rsidR="00231106" w:rsidRPr="00CC51E2">
        <w:rPr>
          <w:rFonts w:ascii="Arial" w:hAnsi="Arial" w:cs="Arial"/>
          <w:sz w:val="20"/>
          <w:szCs w:val="20"/>
        </w:rPr>
        <w:t>evisión final y alistamiento de soportes y anexos para remisión ante el Consejo Distrital de Archivos</w:t>
      </w:r>
      <w:r w:rsidR="00043EF4" w:rsidRPr="00CC51E2">
        <w:rPr>
          <w:rFonts w:ascii="Arial" w:hAnsi="Arial" w:cs="Arial"/>
          <w:sz w:val="20"/>
          <w:szCs w:val="20"/>
        </w:rPr>
        <w:t>.</w:t>
      </w:r>
    </w:p>
    <w:p w:rsidR="0053226A" w:rsidRPr="00CC51E2" w:rsidRDefault="0053226A" w:rsidP="0053226A">
      <w:pPr>
        <w:pStyle w:val="Prrafodelista"/>
        <w:spacing w:after="0" w:line="312" w:lineRule="auto"/>
        <w:jc w:val="both"/>
        <w:rPr>
          <w:rFonts w:ascii="Arial" w:hAnsi="Arial" w:cs="Arial"/>
          <w:sz w:val="20"/>
          <w:szCs w:val="20"/>
        </w:rPr>
      </w:pPr>
    </w:p>
    <w:p w:rsidR="00933D99" w:rsidRPr="00CC51E2" w:rsidRDefault="0053226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Desarrollo de documento del Sistema Integrado de Conservación</w:t>
      </w:r>
      <w:r w:rsidRPr="00CC51E2">
        <w:rPr>
          <w:rFonts w:ascii="Arial" w:hAnsi="Arial" w:cs="Arial"/>
          <w:sz w:val="20"/>
          <w:szCs w:val="20"/>
        </w:rPr>
        <w:t>: elaboración del documento técnico a partir de insumos generados en la vigencia 2016 para presentación ante el Comité del Sistema Integrado de Gestión en aras de consolidar documento estructurado técnicamente según lineamientos del Acuerdo 06 de 2014 del Archivo General de la Nación (AGN)</w:t>
      </w:r>
      <w:r w:rsidR="007E7584" w:rsidRPr="00CC51E2">
        <w:rPr>
          <w:rFonts w:ascii="Arial" w:hAnsi="Arial" w:cs="Arial"/>
          <w:sz w:val="20"/>
          <w:szCs w:val="20"/>
        </w:rPr>
        <w:t>.</w:t>
      </w:r>
    </w:p>
    <w:p w:rsidR="0053226A" w:rsidRPr="00CC51E2" w:rsidRDefault="0053226A" w:rsidP="0053226A">
      <w:pPr>
        <w:pStyle w:val="Prrafodelista"/>
        <w:rPr>
          <w:rFonts w:ascii="Arial" w:hAnsi="Arial" w:cs="Arial"/>
          <w:sz w:val="20"/>
          <w:szCs w:val="20"/>
        </w:rPr>
      </w:pPr>
    </w:p>
    <w:p w:rsidR="0053226A" w:rsidRPr="00CC51E2" w:rsidRDefault="0053226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Organización de Archivos de Gestión de dependencias de apoyo: </w:t>
      </w:r>
      <w:r w:rsidRPr="00CC51E2">
        <w:rPr>
          <w:rFonts w:ascii="Arial" w:hAnsi="Arial" w:cs="Arial"/>
          <w:sz w:val="20"/>
          <w:szCs w:val="20"/>
        </w:rPr>
        <w:t>se gestionó la ejecución de contrato con Servicios Postales Nacionales para la organización de hasta 400 metros lineales de documentos según las Tablas de retención Documental (TRD) así como el control de calidad de producto intervenido al 100% para garantizar resultado</w:t>
      </w:r>
      <w:r w:rsidR="007E7584" w:rsidRPr="00CC51E2">
        <w:rPr>
          <w:rFonts w:ascii="Arial" w:hAnsi="Arial" w:cs="Arial"/>
          <w:sz w:val="20"/>
          <w:szCs w:val="20"/>
        </w:rPr>
        <w:t xml:space="preserve"> satisfactorio</w:t>
      </w:r>
      <w:r w:rsidRPr="00CC51E2">
        <w:rPr>
          <w:rFonts w:ascii="Arial" w:hAnsi="Arial" w:cs="Arial"/>
          <w:sz w:val="20"/>
          <w:szCs w:val="20"/>
        </w:rPr>
        <w:t xml:space="preserve">, pues normalmente </w:t>
      </w:r>
      <w:r w:rsidR="007E7584" w:rsidRPr="00CC51E2">
        <w:rPr>
          <w:rFonts w:ascii="Arial" w:hAnsi="Arial" w:cs="Arial"/>
          <w:sz w:val="20"/>
          <w:szCs w:val="20"/>
        </w:rPr>
        <w:t>se hace un control sobre el 30%</w:t>
      </w:r>
      <w:r w:rsidRPr="00CC51E2">
        <w:rPr>
          <w:rFonts w:ascii="Arial" w:hAnsi="Arial" w:cs="Arial"/>
          <w:sz w:val="20"/>
          <w:szCs w:val="20"/>
        </w:rPr>
        <w:t xml:space="preserve"> con un margen de error muy alto.</w:t>
      </w:r>
    </w:p>
    <w:p w:rsidR="00C27C5A" w:rsidRPr="00CC51E2" w:rsidRDefault="00C27C5A" w:rsidP="00C27C5A">
      <w:pPr>
        <w:pStyle w:val="Prrafodelista"/>
        <w:rPr>
          <w:rFonts w:ascii="Arial" w:hAnsi="Arial" w:cs="Arial"/>
          <w:sz w:val="20"/>
          <w:szCs w:val="20"/>
        </w:rPr>
      </w:pPr>
    </w:p>
    <w:p w:rsidR="0053226A" w:rsidRPr="00CC51E2" w:rsidRDefault="00C27C5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Renova</w:t>
      </w:r>
      <w:r w:rsidR="009C04A7" w:rsidRPr="00CC51E2">
        <w:rPr>
          <w:rFonts w:ascii="Arial" w:hAnsi="Arial" w:cs="Arial"/>
          <w:b/>
          <w:sz w:val="20"/>
          <w:szCs w:val="20"/>
        </w:rPr>
        <w:t>ción de mobiliario de Archivadores</w:t>
      </w:r>
      <w:r w:rsidRPr="00CC51E2">
        <w:rPr>
          <w:rFonts w:ascii="Arial" w:hAnsi="Arial" w:cs="Arial"/>
          <w:b/>
          <w:sz w:val="20"/>
          <w:szCs w:val="20"/>
        </w:rPr>
        <w:t xml:space="preserve"> de Gestión y Central</w:t>
      </w:r>
      <w:r w:rsidRPr="00CC51E2">
        <w:rPr>
          <w:rFonts w:ascii="Arial" w:hAnsi="Arial" w:cs="Arial"/>
          <w:sz w:val="20"/>
          <w:szCs w:val="20"/>
        </w:rPr>
        <w:t>: se gestionó la ejecución del contrato 612 de 2016 para la instalación de archivadores rodantes en la Dirección de Reasentamientos (cambio de fija por rodante), Mejoramiento de Barrios (cambio de la deteriorada), Dirección de Mejoramiento de Vivienda (instalación de uno nuevo), archivo de contratos (cambio de la deteriorada) y Archivo Central (cambio de fija por rodante).</w:t>
      </w:r>
      <w:r w:rsidR="00923C75" w:rsidRPr="00CC51E2">
        <w:rPr>
          <w:rFonts w:ascii="Arial" w:hAnsi="Arial" w:cs="Arial"/>
          <w:sz w:val="20"/>
          <w:szCs w:val="20"/>
        </w:rPr>
        <w:t xml:space="preserve"> Lo anterior permitió la optimización de la capacidad de almacenamiento de archivos de gestión y central y renovación de estantería que se encontraba en mal estado.</w:t>
      </w:r>
    </w:p>
    <w:p w:rsidR="00923C75" w:rsidRPr="00CC51E2" w:rsidRDefault="00923C75" w:rsidP="00923C75">
      <w:pPr>
        <w:pStyle w:val="Prrafodelista"/>
        <w:rPr>
          <w:rFonts w:ascii="Arial" w:hAnsi="Arial" w:cs="Arial"/>
          <w:sz w:val="20"/>
          <w:szCs w:val="20"/>
        </w:rPr>
      </w:pPr>
    </w:p>
    <w:p w:rsidR="00923C75" w:rsidRPr="00CC51E2" w:rsidRDefault="00923C75"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Actualización del Programa de Gestión Documental: </w:t>
      </w:r>
      <w:r w:rsidRPr="00CC51E2">
        <w:rPr>
          <w:rFonts w:ascii="Arial" w:hAnsi="Arial" w:cs="Arial"/>
          <w:sz w:val="20"/>
          <w:szCs w:val="20"/>
        </w:rPr>
        <w:t>revisión del documento aprobado mediante Resolución</w:t>
      </w:r>
      <w:r w:rsidR="00AC5120" w:rsidRPr="00CC51E2">
        <w:rPr>
          <w:rFonts w:ascii="Arial" w:hAnsi="Arial" w:cs="Arial"/>
          <w:sz w:val="20"/>
          <w:szCs w:val="20"/>
        </w:rPr>
        <w:t xml:space="preserve"> N</w:t>
      </w:r>
      <w:r w:rsidR="005111C0" w:rsidRPr="00CC51E2">
        <w:rPr>
          <w:rFonts w:ascii="Arial" w:hAnsi="Arial" w:cs="Arial"/>
          <w:sz w:val="20"/>
          <w:szCs w:val="20"/>
        </w:rPr>
        <w:t>r</w:t>
      </w:r>
      <w:r w:rsidR="00AC5120" w:rsidRPr="00CC51E2">
        <w:rPr>
          <w:rFonts w:ascii="Arial" w:hAnsi="Arial" w:cs="Arial"/>
          <w:sz w:val="20"/>
          <w:szCs w:val="20"/>
        </w:rPr>
        <w:t xml:space="preserve">o. </w:t>
      </w:r>
      <w:r w:rsidR="005111C0" w:rsidRPr="00CC51E2">
        <w:rPr>
          <w:rFonts w:ascii="Arial" w:hAnsi="Arial" w:cs="Arial"/>
          <w:sz w:val="20"/>
          <w:szCs w:val="20"/>
        </w:rPr>
        <w:t xml:space="preserve">3964 de 2015 </w:t>
      </w:r>
      <w:r w:rsidRPr="00CC51E2">
        <w:rPr>
          <w:rFonts w:ascii="Arial" w:hAnsi="Arial" w:cs="Arial"/>
          <w:sz w:val="20"/>
          <w:szCs w:val="20"/>
        </w:rPr>
        <w:t>y elaboración de ajustes y actualización a partir del diagnóstico elaborado en la vigencia 2016.</w:t>
      </w:r>
    </w:p>
    <w:p w:rsidR="00C51E7A" w:rsidRPr="00CC51E2" w:rsidRDefault="00C51E7A" w:rsidP="00C51E7A">
      <w:pPr>
        <w:pStyle w:val="Prrafodelista"/>
        <w:rPr>
          <w:rFonts w:ascii="Arial" w:hAnsi="Arial" w:cs="Arial"/>
          <w:sz w:val="20"/>
          <w:szCs w:val="20"/>
        </w:rPr>
      </w:pPr>
    </w:p>
    <w:p w:rsidR="00C51E7A" w:rsidRPr="00CC51E2" w:rsidRDefault="00C51E7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Administración y custodia del archivo central: </w:t>
      </w:r>
      <w:r w:rsidRPr="00CC51E2">
        <w:rPr>
          <w:rFonts w:ascii="Arial" w:hAnsi="Arial" w:cs="Arial"/>
          <w:sz w:val="20"/>
          <w:szCs w:val="20"/>
        </w:rPr>
        <w:t xml:space="preserve">se mantuvo actualizada la documentación del archivo central de la C.V.P, </w:t>
      </w:r>
      <w:r w:rsidR="00042B68" w:rsidRPr="00CC51E2">
        <w:rPr>
          <w:rFonts w:ascii="Arial" w:hAnsi="Arial" w:cs="Arial"/>
          <w:sz w:val="20"/>
          <w:szCs w:val="20"/>
        </w:rPr>
        <w:t xml:space="preserve">y se renovó el mobiliario con la </w:t>
      </w:r>
      <w:r w:rsidRPr="00CC51E2">
        <w:rPr>
          <w:rFonts w:ascii="Arial" w:hAnsi="Arial" w:cs="Arial"/>
          <w:sz w:val="20"/>
          <w:szCs w:val="20"/>
        </w:rPr>
        <w:t>instalación de archivadores rodantes</w:t>
      </w:r>
      <w:r w:rsidR="00042B68" w:rsidRPr="00CC51E2">
        <w:rPr>
          <w:rFonts w:ascii="Arial" w:hAnsi="Arial" w:cs="Arial"/>
          <w:sz w:val="20"/>
          <w:szCs w:val="20"/>
        </w:rPr>
        <w:t>.</w:t>
      </w:r>
    </w:p>
    <w:p w:rsidR="00025E55" w:rsidRPr="00CC51E2" w:rsidRDefault="00025E55" w:rsidP="00025E55">
      <w:pPr>
        <w:pStyle w:val="Prrafodelista"/>
        <w:rPr>
          <w:rFonts w:ascii="Arial" w:hAnsi="Arial" w:cs="Arial"/>
          <w:sz w:val="20"/>
          <w:szCs w:val="20"/>
        </w:rPr>
      </w:pPr>
    </w:p>
    <w:p w:rsidR="00025E55" w:rsidRPr="00CC51E2" w:rsidRDefault="00025E55"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lastRenderedPageBreak/>
        <w:t>Suministro de información y soportes para las diferentes consultas y solicitudes realizadas</w:t>
      </w:r>
      <w:r w:rsidRPr="00CC51E2">
        <w:rPr>
          <w:rFonts w:ascii="Arial" w:hAnsi="Arial" w:cs="Arial"/>
          <w:sz w:val="20"/>
          <w:szCs w:val="20"/>
        </w:rPr>
        <w:t xml:space="preserve">: </w:t>
      </w:r>
      <w:r w:rsidR="00042B68" w:rsidRPr="00CC51E2">
        <w:rPr>
          <w:rFonts w:ascii="Arial" w:hAnsi="Arial" w:cs="Arial"/>
          <w:sz w:val="20"/>
          <w:szCs w:val="20"/>
        </w:rPr>
        <w:t>E</w:t>
      </w:r>
      <w:r w:rsidRPr="00CC51E2">
        <w:rPr>
          <w:rFonts w:ascii="Arial" w:hAnsi="Arial" w:cs="Arial"/>
          <w:sz w:val="20"/>
          <w:szCs w:val="20"/>
        </w:rPr>
        <w:t xml:space="preserve">ntrega oportuna a los requerimientos solicitados, por parte de las diferentes direcciones y dependencias de la entidad. </w:t>
      </w:r>
      <w:r w:rsidR="00216BEA" w:rsidRPr="00CC51E2">
        <w:rPr>
          <w:rFonts w:ascii="Arial" w:hAnsi="Arial" w:cs="Arial"/>
          <w:sz w:val="20"/>
          <w:szCs w:val="20"/>
        </w:rPr>
        <w:t>Igualmente,</w:t>
      </w:r>
      <w:r w:rsidRPr="00CC51E2">
        <w:rPr>
          <w:rFonts w:ascii="Arial" w:hAnsi="Arial" w:cs="Arial"/>
          <w:sz w:val="20"/>
          <w:szCs w:val="20"/>
        </w:rPr>
        <w:t xml:space="preserve"> </w:t>
      </w:r>
      <w:r w:rsidR="00030425" w:rsidRPr="00CC51E2">
        <w:rPr>
          <w:rFonts w:ascii="Arial" w:hAnsi="Arial" w:cs="Arial"/>
          <w:sz w:val="20"/>
          <w:szCs w:val="20"/>
        </w:rPr>
        <w:t>la recepción</w:t>
      </w:r>
      <w:r w:rsidRPr="00CC51E2">
        <w:rPr>
          <w:rFonts w:ascii="Arial" w:hAnsi="Arial" w:cs="Arial"/>
          <w:sz w:val="20"/>
          <w:szCs w:val="20"/>
        </w:rPr>
        <w:t xml:space="preserve"> de documentos tran</w:t>
      </w:r>
      <w:r w:rsidR="00042B68" w:rsidRPr="00CC51E2">
        <w:rPr>
          <w:rFonts w:ascii="Arial" w:hAnsi="Arial" w:cs="Arial"/>
          <w:sz w:val="20"/>
          <w:szCs w:val="20"/>
        </w:rPr>
        <w:t>sferidos del archivo de gestión</w:t>
      </w:r>
      <w:r w:rsidRPr="00CC51E2">
        <w:rPr>
          <w:rFonts w:ascii="Arial" w:hAnsi="Arial" w:cs="Arial"/>
          <w:sz w:val="20"/>
          <w:szCs w:val="20"/>
        </w:rPr>
        <w:t xml:space="preserve"> al </w:t>
      </w:r>
      <w:r w:rsidR="00432781" w:rsidRPr="00CC51E2">
        <w:rPr>
          <w:rFonts w:ascii="Arial" w:hAnsi="Arial" w:cs="Arial"/>
          <w:sz w:val="20"/>
          <w:szCs w:val="20"/>
        </w:rPr>
        <w:t>central de</w:t>
      </w:r>
      <w:r w:rsidRPr="00CC51E2">
        <w:rPr>
          <w:rFonts w:ascii="Arial" w:hAnsi="Arial" w:cs="Arial"/>
          <w:sz w:val="20"/>
          <w:szCs w:val="20"/>
        </w:rPr>
        <w:t xml:space="preserve"> la C.V.P y realización de los procesos técnicos documentales, que consisten en identificación, valoración, selección, limpieza, eliminación de materiales metálicos, y revisión final de documentos a archivar.</w:t>
      </w:r>
    </w:p>
    <w:p w:rsidR="00EC5960" w:rsidRPr="00CC51E2" w:rsidRDefault="00EC5960" w:rsidP="00A64869">
      <w:pPr>
        <w:spacing w:after="0" w:line="312" w:lineRule="auto"/>
        <w:rPr>
          <w:rFonts w:ascii="Arial" w:hAnsi="Arial" w:cs="Arial"/>
          <w:sz w:val="20"/>
          <w:szCs w:val="20"/>
        </w:rPr>
      </w:pPr>
    </w:p>
    <w:p w:rsidR="00EC5960" w:rsidRPr="00CC51E2" w:rsidRDefault="00EC5960" w:rsidP="00EC5960">
      <w:pPr>
        <w:spacing w:after="0" w:line="240" w:lineRule="auto"/>
        <w:rPr>
          <w:rFonts w:ascii="Arial" w:hAnsi="Arial" w:cs="Arial"/>
          <w:sz w:val="20"/>
          <w:szCs w:val="20"/>
        </w:rPr>
      </w:pPr>
    </w:p>
    <w:p w:rsidR="00EC5960" w:rsidRPr="00CC51E2" w:rsidRDefault="00EC5960" w:rsidP="00EC5960">
      <w:pPr>
        <w:spacing w:after="0" w:line="240" w:lineRule="auto"/>
        <w:rPr>
          <w:rFonts w:ascii="Arial" w:hAnsi="Arial" w:cs="Arial"/>
          <w:b/>
          <w:color w:val="4F81BD" w:themeColor="accent1"/>
          <w:sz w:val="20"/>
          <w:szCs w:val="20"/>
          <w:u w:val="single"/>
        </w:rPr>
      </w:pPr>
    </w:p>
    <w:p w:rsidR="007A1776"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sz w:val="20"/>
          <w:szCs w:val="20"/>
        </w:rPr>
        <w:br w:type="page"/>
      </w:r>
      <w:r w:rsidRPr="00CC51E2">
        <w:rPr>
          <w:rFonts w:ascii="Arial" w:hAnsi="Arial" w:cs="Arial"/>
          <w:b/>
          <w:color w:val="1F497D" w:themeColor="text2"/>
          <w:sz w:val="20"/>
          <w:szCs w:val="20"/>
        </w:rPr>
        <w:lastRenderedPageBreak/>
        <w:t>EJECUCIÓN PRESUPUESTAL.</w:t>
      </w:r>
    </w:p>
    <w:p w:rsidR="00830B71" w:rsidRPr="00CC51E2" w:rsidRDefault="00830B71" w:rsidP="00830B71">
      <w:pPr>
        <w:pStyle w:val="Prrafodelista"/>
        <w:spacing w:after="0" w:line="240" w:lineRule="auto"/>
        <w:rPr>
          <w:rFonts w:ascii="Arial" w:hAnsi="Arial" w:cs="Arial"/>
          <w:b/>
          <w:color w:val="1F497D" w:themeColor="text2"/>
          <w:sz w:val="20"/>
          <w:szCs w:val="20"/>
        </w:rPr>
      </w:pPr>
    </w:p>
    <w:p w:rsidR="007A1776" w:rsidRPr="00CC51E2" w:rsidRDefault="007A1776" w:rsidP="007A1776">
      <w:pPr>
        <w:spacing w:after="0" w:line="240" w:lineRule="auto"/>
        <w:jc w:val="center"/>
        <w:rPr>
          <w:rFonts w:ascii="Arial" w:hAnsi="Arial" w:cs="Arial"/>
          <w:b/>
          <w:sz w:val="20"/>
          <w:szCs w:val="20"/>
        </w:rPr>
      </w:pPr>
    </w:p>
    <w:tbl>
      <w:tblPr>
        <w:tblW w:w="5000" w:type="pct"/>
        <w:tblCellMar>
          <w:left w:w="70" w:type="dxa"/>
          <w:right w:w="70" w:type="dxa"/>
        </w:tblCellMar>
        <w:tblLook w:val="04A0" w:firstRow="1" w:lastRow="0" w:firstColumn="1" w:lastColumn="0" w:noHBand="0" w:noVBand="1"/>
      </w:tblPr>
      <w:tblGrid>
        <w:gridCol w:w="4777"/>
        <w:gridCol w:w="2309"/>
        <w:gridCol w:w="2309"/>
      </w:tblGrid>
      <w:tr w:rsidR="00830B71" w:rsidRPr="00CC51E2" w:rsidTr="00E367A0">
        <w:trPr>
          <w:trHeight w:val="1233"/>
          <w:tblHeader/>
        </w:trPr>
        <w:tc>
          <w:tcPr>
            <w:tcW w:w="5000" w:type="pct"/>
            <w:gridSpan w:val="3"/>
            <w:tcBorders>
              <w:top w:val="single" w:sz="4" w:space="0" w:color="auto"/>
              <w:left w:val="single" w:sz="4" w:space="0" w:color="auto"/>
              <w:bottom w:val="single" w:sz="4" w:space="0" w:color="auto"/>
              <w:right w:val="single" w:sz="4" w:space="0" w:color="auto"/>
            </w:tcBorders>
            <w:shd w:val="clear" w:color="000000" w:fill="44546A"/>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GESTIÓN DEL PLAN ANUAL DE ADQUISICIONES </w:t>
            </w:r>
            <w:r w:rsidRPr="00CC51E2">
              <w:rPr>
                <w:rFonts w:ascii="Arial" w:eastAsia="Times New Roman" w:hAnsi="Arial" w:cs="Arial"/>
                <w:b/>
                <w:bCs/>
                <w:color w:val="FFFFFF"/>
                <w:sz w:val="20"/>
                <w:szCs w:val="20"/>
                <w:lang w:val="es-ES" w:eastAsia="es-ES"/>
              </w:rPr>
              <w:br/>
            </w:r>
            <w:r w:rsidR="002E71E6" w:rsidRPr="00CC51E2">
              <w:rPr>
                <w:rFonts w:ascii="Arial" w:eastAsia="Times New Roman" w:hAnsi="Arial" w:cs="Arial"/>
                <w:b/>
                <w:bCs/>
                <w:color w:val="FFFFFF"/>
                <w:sz w:val="20"/>
                <w:szCs w:val="20"/>
                <w:lang w:val="es-ES" w:eastAsia="es-ES"/>
              </w:rPr>
              <w:t>SUBDIRECCIÓN ADMINISTRATIVA</w:t>
            </w:r>
            <w:r w:rsidR="002E71E6" w:rsidRPr="00CC51E2">
              <w:rPr>
                <w:rFonts w:ascii="Arial" w:eastAsia="Times New Roman" w:hAnsi="Arial" w:cs="Arial"/>
                <w:b/>
                <w:bCs/>
                <w:color w:val="FFFFFF"/>
                <w:sz w:val="20"/>
                <w:szCs w:val="20"/>
                <w:lang w:val="es-ES" w:eastAsia="es-ES"/>
              </w:rPr>
              <w:br/>
              <w:t xml:space="preserve">A 31 DE OCTUBRE </w:t>
            </w:r>
            <w:r w:rsidRPr="00CC51E2">
              <w:rPr>
                <w:rFonts w:ascii="Arial" w:eastAsia="Times New Roman" w:hAnsi="Arial" w:cs="Arial"/>
                <w:b/>
                <w:bCs/>
                <w:color w:val="FFFFFF"/>
                <w:sz w:val="20"/>
                <w:szCs w:val="20"/>
                <w:lang w:val="es-ES" w:eastAsia="es-ES"/>
              </w:rPr>
              <w:t>DE 2017</w:t>
            </w:r>
            <w:r w:rsidRPr="00CC51E2">
              <w:rPr>
                <w:rFonts w:ascii="Arial" w:eastAsia="Times New Roman" w:hAnsi="Arial" w:cs="Arial"/>
                <w:b/>
                <w:bCs/>
                <w:color w:val="FFFFFF"/>
                <w:sz w:val="20"/>
                <w:szCs w:val="20"/>
                <w:lang w:val="es-ES" w:eastAsia="es-ES"/>
              </w:rPr>
              <w:br/>
              <w:t>Inversión - Proyecto 404</w:t>
            </w:r>
          </w:p>
        </w:tc>
      </w:tr>
      <w:tr w:rsidR="00830B71" w:rsidRPr="00CC51E2" w:rsidTr="00E367A0">
        <w:trPr>
          <w:trHeight w:val="556"/>
          <w:tblHeader/>
        </w:trPr>
        <w:tc>
          <w:tcPr>
            <w:tcW w:w="2984"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008"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programado</w:t>
            </w:r>
          </w:p>
        </w:tc>
        <w:tc>
          <w:tcPr>
            <w:tcW w:w="1008"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comprometido Presupuestalmente</w:t>
            </w:r>
          </w:p>
        </w:tc>
      </w:tr>
      <w:tr w:rsidR="00830B71" w:rsidRPr="00CC51E2" w:rsidTr="00E367A0">
        <w:trPr>
          <w:trHeight w:val="341"/>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 Infraestructura</w:t>
            </w:r>
          </w:p>
        </w:tc>
      </w:tr>
      <w:tr w:rsidR="00830B71" w:rsidRPr="00CC51E2" w:rsidTr="00E367A0">
        <w:trPr>
          <w:trHeight w:val="402"/>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Mejoramiento de la Infraestructura Administrativa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170.461.405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160.020.902 </w:t>
            </w:r>
          </w:p>
        </w:tc>
      </w:tr>
      <w:tr w:rsidR="00830B71" w:rsidRPr="00CC51E2" w:rsidTr="00E367A0">
        <w:trPr>
          <w:trHeight w:val="422"/>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Infraestructura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170.461.405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160.020.902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 Dotación</w:t>
            </w:r>
          </w:p>
        </w:tc>
      </w:tr>
      <w:tr w:rsidR="00830B71" w:rsidRPr="00CC51E2" w:rsidTr="00E367A0">
        <w:trPr>
          <w:trHeight w:val="49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Otros Gastos Operativos</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674.191.871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658.674.902 </w:t>
            </w:r>
          </w:p>
        </w:tc>
      </w:tr>
      <w:tr w:rsidR="00830B71" w:rsidRPr="00CC51E2" w:rsidTr="00E367A0">
        <w:trPr>
          <w:trHeight w:val="426"/>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Alquiler de vehículos</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1.651.343.000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1.646.952.000 </w:t>
            </w:r>
          </w:p>
        </w:tc>
      </w:tr>
      <w:tr w:rsidR="00830B71" w:rsidRPr="00CC51E2" w:rsidTr="00E367A0">
        <w:trPr>
          <w:trHeight w:val="41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Vigilancia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1.042.316.000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1.042.316.000 </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Adquisición de Equipos, Materiales y Suministros, Software y Otros Servicios para el Fortalecimiento Institucional</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439.764.000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186.323.808 </w:t>
            </w:r>
          </w:p>
        </w:tc>
      </w:tr>
      <w:tr w:rsidR="00830B71" w:rsidRPr="00CC51E2" w:rsidTr="00E367A0">
        <w:trPr>
          <w:trHeight w:val="44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Dotación</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3.807.614.871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3.534.266.710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 Recurso Humano</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Personal Contratado para Apoyar y Fortalecer las Labores Administrativas de la Entidad</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943.663.567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872.228.313 </w:t>
            </w:r>
          </w:p>
        </w:tc>
      </w:tr>
      <w:tr w:rsidR="00830B71" w:rsidRPr="00CC51E2" w:rsidTr="00E367A0">
        <w:trPr>
          <w:trHeight w:val="539"/>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Recurso Humano</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943.663.567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872.228.313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 Administración Institucional</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Otros Gastos Administración, Control Y Organización</w:t>
            </w:r>
            <w:r w:rsidRPr="00CC51E2">
              <w:rPr>
                <w:rFonts w:ascii="Arial" w:eastAsia="Times New Roman" w:hAnsi="Arial" w:cs="Arial"/>
                <w:color w:val="000000"/>
                <w:sz w:val="20"/>
                <w:szCs w:val="20"/>
                <w:lang w:val="es-ES" w:eastAsia="es-ES"/>
              </w:rPr>
              <w:br/>
              <w:t>Institucional Para Apoyo Gestión Del Estado</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400.000.000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w:t>
            </w:r>
          </w:p>
        </w:tc>
      </w:tr>
      <w:tr w:rsidR="00830B71" w:rsidRPr="00CC51E2" w:rsidTr="00E367A0">
        <w:trPr>
          <w:trHeight w:val="54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Administración Institucional</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400.000.000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w:t>
            </w:r>
          </w:p>
        </w:tc>
      </w:tr>
      <w:tr w:rsidR="00830B71" w:rsidRPr="00CC51E2" w:rsidTr="00E367A0">
        <w:trPr>
          <w:trHeight w:val="375"/>
        </w:trPr>
        <w:tc>
          <w:tcPr>
            <w:tcW w:w="2984" w:type="pct"/>
            <w:tcBorders>
              <w:top w:val="nil"/>
              <w:left w:val="single" w:sz="4" w:space="0" w:color="auto"/>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Total (1) + (2) + (3) +(4)</w:t>
            </w:r>
          </w:p>
        </w:tc>
        <w:tc>
          <w:tcPr>
            <w:tcW w:w="1008" w:type="pct"/>
            <w:tcBorders>
              <w:top w:val="nil"/>
              <w:left w:val="nil"/>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5.321.739.843 </w:t>
            </w:r>
          </w:p>
        </w:tc>
        <w:tc>
          <w:tcPr>
            <w:tcW w:w="1008" w:type="pct"/>
            <w:tcBorders>
              <w:top w:val="nil"/>
              <w:left w:val="nil"/>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4.566.515.925 </w:t>
            </w:r>
          </w:p>
        </w:tc>
      </w:tr>
      <w:tr w:rsidR="00830B71" w:rsidRPr="00CC51E2" w:rsidTr="00E367A0">
        <w:trPr>
          <w:trHeight w:val="645"/>
        </w:trPr>
        <w:tc>
          <w:tcPr>
            <w:tcW w:w="2984"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Gestionado</w:t>
            </w:r>
          </w:p>
        </w:tc>
        <w:tc>
          <w:tcPr>
            <w:tcW w:w="2016" w:type="pct"/>
            <w:gridSpan w:val="2"/>
            <w:tcBorders>
              <w:top w:val="single" w:sz="4" w:space="0" w:color="auto"/>
              <w:left w:val="nil"/>
              <w:bottom w:val="single" w:sz="4" w:space="0" w:color="auto"/>
              <w:right w:val="single" w:sz="4" w:space="0" w:color="000000"/>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86%</w:t>
            </w:r>
          </w:p>
        </w:tc>
      </w:tr>
    </w:tbl>
    <w:p w:rsidR="00FF7DC1" w:rsidRPr="00CC51E2" w:rsidRDefault="00FF7DC1"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FF7DC1" w:rsidRPr="00CC51E2" w:rsidRDefault="00FF7DC1" w:rsidP="007A1776">
      <w:pPr>
        <w:spacing w:after="0" w:line="240" w:lineRule="auto"/>
        <w:jc w:val="center"/>
        <w:rPr>
          <w:rFonts w:ascii="Arial" w:hAnsi="Arial" w:cs="Arial"/>
          <w:b/>
          <w:sz w:val="20"/>
          <w:szCs w:val="20"/>
        </w:rPr>
      </w:pPr>
      <w:r w:rsidRPr="00CC51E2">
        <w:rPr>
          <w:rFonts w:ascii="Arial" w:hAnsi="Arial" w:cs="Arial"/>
          <w:b/>
          <w:sz w:val="20"/>
          <w:szCs w:val="20"/>
        </w:rPr>
        <w:lastRenderedPageBreak/>
        <w:t>Tabla No. 1</w:t>
      </w:r>
    </w:p>
    <w:p w:rsidR="00830B71" w:rsidRPr="00CC51E2" w:rsidRDefault="00830B71" w:rsidP="007A1776">
      <w:pPr>
        <w:spacing w:after="0" w:line="240" w:lineRule="auto"/>
        <w:jc w:val="center"/>
        <w:rPr>
          <w:rFonts w:ascii="Arial" w:hAnsi="Arial" w:cs="Arial"/>
          <w:b/>
          <w:sz w:val="20"/>
          <w:szCs w:val="20"/>
        </w:rPr>
      </w:pPr>
    </w:p>
    <w:p w:rsidR="00830B71" w:rsidRPr="00CC51E2" w:rsidRDefault="00830B71" w:rsidP="007A1776">
      <w:pPr>
        <w:spacing w:after="0" w:line="240" w:lineRule="auto"/>
        <w:jc w:val="center"/>
        <w:rPr>
          <w:rFonts w:ascii="Arial" w:hAnsi="Arial" w:cs="Arial"/>
          <w:b/>
          <w:sz w:val="20"/>
          <w:szCs w:val="20"/>
        </w:rPr>
      </w:pPr>
    </w:p>
    <w:tbl>
      <w:tblPr>
        <w:tblW w:w="5000" w:type="pct"/>
        <w:tblCellMar>
          <w:left w:w="70" w:type="dxa"/>
          <w:right w:w="70" w:type="dxa"/>
        </w:tblCellMar>
        <w:tblLook w:val="04A0" w:firstRow="1" w:lastRow="0" w:firstColumn="1" w:lastColumn="0" w:noHBand="0" w:noVBand="1"/>
      </w:tblPr>
      <w:tblGrid>
        <w:gridCol w:w="4365"/>
        <w:gridCol w:w="2505"/>
        <w:gridCol w:w="2525"/>
      </w:tblGrid>
      <w:tr w:rsidR="00830B71" w:rsidRPr="00CC51E2" w:rsidTr="00E367A0">
        <w:trPr>
          <w:trHeight w:val="1154"/>
          <w:tblHeader/>
        </w:trPr>
        <w:tc>
          <w:tcPr>
            <w:tcW w:w="5000" w:type="pct"/>
            <w:gridSpan w:val="3"/>
            <w:tcBorders>
              <w:top w:val="single" w:sz="4" w:space="0" w:color="auto"/>
              <w:left w:val="single" w:sz="4" w:space="0" w:color="auto"/>
              <w:bottom w:val="single" w:sz="4" w:space="0" w:color="auto"/>
              <w:right w:val="single" w:sz="4" w:space="0" w:color="auto"/>
            </w:tcBorders>
            <w:shd w:val="clear" w:color="000000" w:fill="44546A"/>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GESTIÓN DEL PLAN ANUAL DE ADQUISICIONES </w:t>
            </w:r>
            <w:r w:rsidRPr="00CC51E2">
              <w:rPr>
                <w:rFonts w:ascii="Arial" w:eastAsia="Times New Roman" w:hAnsi="Arial" w:cs="Arial"/>
                <w:b/>
                <w:bCs/>
                <w:color w:val="FFFFFF"/>
                <w:sz w:val="20"/>
                <w:szCs w:val="20"/>
                <w:lang w:val="es-ES" w:eastAsia="es-ES"/>
              </w:rPr>
              <w:br/>
            </w:r>
            <w:r w:rsidR="002E71E6" w:rsidRPr="00CC51E2">
              <w:rPr>
                <w:rFonts w:ascii="Arial" w:eastAsia="Times New Roman" w:hAnsi="Arial" w:cs="Arial"/>
                <w:b/>
                <w:bCs/>
                <w:color w:val="FFFFFF"/>
                <w:sz w:val="20"/>
                <w:szCs w:val="20"/>
                <w:lang w:val="es-ES" w:eastAsia="es-ES"/>
              </w:rPr>
              <w:t>SUBDIRECCIÓN ADMINISTRATIVA</w:t>
            </w:r>
            <w:r w:rsidR="002E71E6" w:rsidRPr="00CC51E2">
              <w:rPr>
                <w:rFonts w:ascii="Arial" w:eastAsia="Times New Roman" w:hAnsi="Arial" w:cs="Arial"/>
                <w:b/>
                <w:bCs/>
                <w:color w:val="FFFFFF"/>
                <w:sz w:val="20"/>
                <w:szCs w:val="20"/>
                <w:lang w:val="es-ES" w:eastAsia="es-ES"/>
              </w:rPr>
              <w:br/>
              <w:t>A 31 DE OCTUBRE</w:t>
            </w:r>
            <w:r w:rsidRPr="00CC51E2">
              <w:rPr>
                <w:rFonts w:ascii="Arial" w:eastAsia="Times New Roman" w:hAnsi="Arial" w:cs="Arial"/>
                <w:b/>
                <w:bCs/>
                <w:color w:val="FFFFFF"/>
                <w:sz w:val="20"/>
                <w:szCs w:val="20"/>
                <w:lang w:val="es-ES" w:eastAsia="es-ES"/>
              </w:rPr>
              <w:t xml:space="preserve"> DE 2017</w:t>
            </w:r>
            <w:r w:rsidRPr="00CC51E2">
              <w:rPr>
                <w:rFonts w:ascii="Arial" w:eastAsia="Times New Roman" w:hAnsi="Arial" w:cs="Arial"/>
                <w:b/>
                <w:bCs/>
                <w:color w:val="FFFFFF"/>
                <w:sz w:val="20"/>
                <w:szCs w:val="20"/>
                <w:lang w:val="es-ES" w:eastAsia="es-ES"/>
              </w:rPr>
              <w:br/>
              <w:t>Funcionamiento</w:t>
            </w:r>
          </w:p>
        </w:tc>
      </w:tr>
      <w:tr w:rsidR="00830B71" w:rsidRPr="00CC51E2" w:rsidTr="00E367A0">
        <w:trPr>
          <w:trHeight w:val="689"/>
          <w:tblHeader/>
        </w:trPr>
        <w:tc>
          <w:tcPr>
            <w:tcW w:w="2323"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333"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programado</w:t>
            </w:r>
          </w:p>
        </w:tc>
        <w:tc>
          <w:tcPr>
            <w:tcW w:w="1344"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comprometido Presupuestalmente</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 Gastos Generales</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Acueducto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22.200.000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Aseo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11.800.000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11.800.000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Energía</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Teléfono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91.200.000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91.200.000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Viáticos y gastos de viaje</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11.786.989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11.786.989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Bienestar e incentivos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50.046.162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50.046.162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Capacitación Interna</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34.200.000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850.000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Salud Ocupacional</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39.907.000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1.500.887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Combustibles, lubricantes y llantas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15.900.000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15.900.000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Gastos de Transporte y Comunicación</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104.550.000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100.520.000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Impresos y publicaciones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41.200.000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40.789.500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Impuestos, tasas, contribuciones y multas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Mantenimiento Entidad</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575.272.041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462.786.824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Materiales y Suministros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36.000.000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36.000.000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Gastos Generales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1.187.062.192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998.380.362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 Servicios personales indirectos</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Honorarios Entidad   </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272.800.000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195.800.000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Remuneración Servicios Técnicos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42.900.000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42.900.000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Servicios personales indirectos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315.700.000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238.700.000 </w:t>
            </w:r>
          </w:p>
        </w:tc>
      </w:tr>
      <w:tr w:rsidR="00830B71" w:rsidRPr="00CC51E2" w:rsidTr="00E367A0">
        <w:trPr>
          <w:trHeight w:val="375"/>
        </w:trPr>
        <w:tc>
          <w:tcPr>
            <w:tcW w:w="2323" w:type="pct"/>
            <w:tcBorders>
              <w:top w:val="nil"/>
              <w:left w:val="single" w:sz="4" w:space="0" w:color="auto"/>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Total (1) + (2)</w:t>
            </w:r>
          </w:p>
        </w:tc>
        <w:tc>
          <w:tcPr>
            <w:tcW w:w="1333" w:type="pct"/>
            <w:tcBorders>
              <w:top w:val="nil"/>
              <w:left w:val="nil"/>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1.502.762.192 </w:t>
            </w:r>
          </w:p>
        </w:tc>
        <w:tc>
          <w:tcPr>
            <w:tcW w:w="1344" w:type="pct"/>
            <w:tcBorders>
              <w:top w:val="nil"/>
              <w:left w:val="nil"/>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1.237.080.362 </w:t>
            </w:r>
          </w:p>
        </w:tc>
      </w:tr>
      <w:tr w:rsidR="00830B71" w:rsidRPr="00CC51E2" w:rsidTr="00E367A0">
        <w:trPr>
          <w:trHeight w:val="510"/>
        </w:trPr>
        <w:tc>
          <w:tcPr>
            <w:tcW w:w="2323"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Gestionado</w:t>
            </w:r>
          </w:p>
        </w:tc>
        <w:tc>
          <w:tcPr>
            <w:tcW w:w="2677" w:type="pct"/>
            <w:gridSpan w:val="2"/>
            <w:tcBorders>
              <w:top w:val="single" w:sz="4" w:space="0" w:color="auto"/>
              <w:left w:val="nil"/>
              <w:bottom w:val="single" w:sz="4" w:space="0" w:color="auto"/>
              <w:right w:val="single" w:sz="4" w:space="0" w:color="000000"/>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82%</w:t>
            </w:r>
          </w:p>
        </w:tc>
      </w:tr>
    </w:tbl>
    <w:p w:rsidR="00FF7DC1" w:rsidRPr="00CC51E2" w:rsidRDefault="00FF7DC1" w:rsidP="007A1776">
      <w:pPr>
        <w:spacing w:after="0" w:line="240" w:lineRule="auto"/>
        <w:jc w:val="center"/>
        <w:rPr>
          <w:rFonts w:ascii="Arial" w:hAnsi="Arial" w:cs="Arial"/>
          <w:b/>
          <w:sz w:val="20"/>
          <w:szCs w:val="20"/>
        </w:rPr>
      </w:pPr>
    </w:p>
    <w:p w:rsidR="00FF7DC1" w:rsidRPr="00CC51E2" w:rsidRDefault="00FF7DC1" w:rsidP="007A177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642CE" w:rsidRPr="00CC51E2" w:rsidRDefault="00042B68" w:rsidP="00A47EB6">
      <w:pPr>
        <w:spacing w:after="0" w:line="240" w:lineRule="auto"/>
        <w:jc w:val="center"/>
        <w:rPr>
          <w:rFonts w:ascii="Arial" w:hAnsi="Arial" w:cs="Arial"/>
          <w:b/>
          <w:sz w:val="20"/>
          <w:szCs w:val="20"/>
        </w:rPr>
      </w:pPr>
      <w:r w:rsidRPr="00CC51E2">
        <w:rPr>
          <w:rFonts w:ascii="Arial" w:hAnsi="Arial" w:cs="Arial"/>
          <w:b/>
          <w:sz w:val="20"/>
          <w:szCs w:val="20"/>
        </w:rPr>
        <w:lastRenderedPageBreak/>
        <w:t>Tabla N</w:t>
      </w:r>
      <w:r w:rsidR="00FF7DC1" w:rsidRPr="00CC51E2">
        <w:rPr>
          <w:rFonts w:ascii="Arial" w:hAnsi="Arial" w:cs="Arial"/>
          <w:b/>
          <w:sz w:val="20"/>
          <w:szCs w:val="20"/>
        </w:rPr>
        <w:t>o. 2</w:t>
      </w:r>
    </w:p>
    <w:p w:rsidR="00830B71" w:rsidRPr="00CC51E2" w:rsidRDefault="00830B71" w:rsidP="007D7A6A">
      <w:pPr>
        <w:spacing w:after="0" w:line="240" w:lineRule="auto"/>
        <w:jc w:val="center"/>
        <w:rPr>
          <w:rFonts w:ascii="Arial" w:hAnsi="Arial" w:cs="Arial"/>
          <w:b/>
          <w:sz w:val="20"/>
          <w:szCs w:val="20"/>
        </w:rPr>
      </w:pPr>
    </w:p>
    <w:p w:rsidR="00830B71" w:rsidRPr="00CC51E2" w:rsidRDefault="00830B71" w:rsidP="007D7A6A">
      <w:pPr>
        <w:spacing w:after="0" w:line="240" w:lineRule="auto"/>
        <w:jc w:val="center"/>
        <w:rPr>
          <w:rFonts w:ascii="Arial" w:hAnsi="Arial" w:cs="Arial"/>
          <w:b/>
          <w:sz w:val="20"/>
          <w:szCs w:val="20"/>
        </w:rPr>
      </w:pPr>
    </w:p>
    <w:p w:rsidR="00830B71" w:rsidRPr="00CC51E2" w:rsidRDefault="00830B71" w:rsidP="007D7A6A">
      <w:pPr>
        <w:spacing w:after="0" w:line="240" w:lineRule="auto"/>
        <w:jc w:val="center"/>
        <w:rPr>
          <w:rFonts w:ascii="Arial" w:hAnsi="Arial" w:cs="Arial"/>
          <w:b/>
          <w:sz w:val="20"/>
          <w:szCs w:val="20"/>
        </w:rPr>
      </w:pPr>
    </w:p>
    <w:p w:rsidR="00830B71" w:rsidRPr="00CC51E2" w:rsidRDefault="00DC39EF" w:rsidP="007D7A6A">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3C1DBB6B" wp14:editId="5BABDD53">
            <wp:extent cx="5367646" cy="3431968"/>
            <wp:effectExtent l="0" t="0" r="5080" b="0"/>
            <wp:docPr id="9" name="Gráfico 9">
              <a:extLst xmlns:a="http://schemas.openxmlformats.org/drawingml/2006/main">
                <a:ext uri="{FF2B5EF4-FFF2-40B4-BE49-F238E27FC236}">
                  <a16:creationId xmlns:a16="http://schemas.microsoft.com/office/drawing/2014/main" id="{367B9F53-835C-4CF7-92DD-7A91583FA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830B71" w:rsidRPr="00CC51E2" w:rsidRDefault="00830B71" w:rsidP="007D7A6A">
      <w:pPr>
        <w:spacing w:after="0" w:line="240" w:lineRule="auto"/>
        <w:jc w:val="center"/>
        <w:rPr>
          <w:rFonts w:ascii="Arial" w:hAnsi="Arial" w:cs="Arial"/>
          <w:b/>
          <w:sz w:val="20"/>
          <w:szCs w:val="20"/>
        </w:rPr>
      </w:pPr>
    </w:p>
    <w:p w:rsidR="008B14E3" w:rsidRPr="00CC51E2" w:rsidRDefault="008B14E3" w:rsidP="007D7A6A">
      <w:pPr>
        <w:spacing w:after="0" w:line="240" w:lineRule="auto"/>
        <w:jc w:val="center"/>
        <w:rPr>
          <w:rFonts w:ascii="Arial" w:hAnsi="Arial" w:cs="Arial"/>
          <w:b/>
          <w:sz w:val="20"/>
          <w:szCs w:val="20"/>
        </w:rPr>
      </w:pPr>
      <w:r w:rsidRPr="00CC51E2">
        <w:rPr>
          <w:rFonts w:ascii="Arial" w:hAnsi="Arial" w:cs="Arial"/>
          <w:b/>
          <w:sz w:val="20"/>
          <w:szCs w:val="20"/>
        </w:rPr>
        <w:t>Gráfico No. 5</w:t>
      </w:r>
    </w:p>
    <w:p w:rsidR="00830B71" w:rsidRPr="00CC51E2" w:rsidRDefault="00830B71" w:rsidP="007D7A6A">
      <w:pPr>
        <w:spacing w:after="0" w:line="240" w:lineRule="auto"/>
        <w:jc w:val="center"/>
        <w:rPr>
          <w:rFonts w:ascii="Arial" w:hAnsi="Arial" w:cs="Arial"/>
          <w:noProof/>
          <w:sz w:val="20"/>
          <w:szCs w:val="20"/>
          <w:lang w:val="es-ES" w:eastAsia="es-ES"/>
        </w:rPr>
      </w:pPr>
    </w:p>
    <w:p w:rsidR="00AE39F2" w:rsidRPr="00CC51E2" w:rsidRDefault="00DC39EF" w:rsidP="007D7A6A">
      <w:pPr>
        <w:spacing w:after="0" w:line="240" w:lineRule="auto"/>
        <w:jc w:val="center"/>
        <w:rPr>
          <w:rFonts w:ascii="Arial" w:hAnsi="Arial" w:cs="Arial"/>
          <w:noProof/>
          <w:sz w:val="20"/>
          <w:szCs w:val="20"/>
          <w:lang w:val="es-ES" w:eastAsia="es-ES"/>
        </w:rPr>
      </w:pPr>
      <w:r w:rsidRPr="00CC51E2">
        <w:rPr>
          <w:rFonts w:ascii="Arial" w:hAnsi="Arial" w:cs="Arial"/>
          <w:noProof/>
          <w:sz w:val="20"/>
          <w:szCs w:val="20"/>
          <w:lang w:val="es-ES" w:eastAsia="es-ES"/>
        </w:rPr>
        <w:drawing>
          <wp:inline distT="0" distB="0" distL="0" distR="0" wp14:anchorId="2471C44A" wp14:editId="3B84033B">
            <wp:extent cx="5429250" cy="3019425"/>
            <wp:effectExtent l="0" t="0" r="0" b="0"/>
            <wp:docPr id="6" name="Gráfico 6">
              <a:extLst xmlns:a="http://schemas.openxmlformats.org/drawingml/2006/main">
                <a:ext uri="{FF2B5EF4-FFF2-40B4-BE49-F238E27FC236}">
                  <a16:creationId xmlns:a16="http://schemas.microsoft.com/office/drawing/2014/main" id="{A5807912-4567-4FFF-8FD2-66FCA7195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937281" w:rsidRPr="00CC51E2" w:rsidRDefault="007D7A6A" w:rsidP="00DC39EF">
      <w:pPr>
        <w:spacing w:after="0" w:line="240" w:lineRule="auto"/>
        <w:jc w:val="center"/>
        <w:rPr>
          <w:rFonts w:ascii="Arial" w:hAnsi="Arial" w:cs="Arial"/>
          <w:b/>
          <w:sz w:val="20"/>
          <w:szCs w:val="20"/>
        </w:rPr>
      </w:pPr>
      <w:r w:rsidRPr="00CC51E2">
        <w:rPr>
          <w:rFonts w:ascii="Arial" w:hAnsi="Arial" w:cs="Arial"/>
          <w:b/>
          <w:sz w:val="20"/>
          <w:szCs w:val="20"/>
        </w:rPr>
        <w:lastRenderedPageBreak/>
        <w:t>Gr</w:t>
      </w:r>
      <w:r w:rsidR="00042B68" w:rsidRPr="00CC51E2">
        <w:rPr>
          <w:rFonts w:ascii="Arial" w:hAnsi="Arial" w:cs="Arial"/>
          <w:b/>
          <w:sz w:val="20"/>
          <w:szCs w:val="20"/>
        </w:rPr>
        <w:t>áfico N</w:t>
      </w:r>
      <w:r w:rsidR="008B14E3" w:rsidRPr="00CC51E2">
        <w:rPr>
          <w:rFonts w:ascii="Arial" w:hAnsi="Arial" w:cs="Arial"/>
          <w:b/>
          <w:sz w:val="20"/>
          <w:szCs w:val="20"/>
        </w:rPr>
        <w:t>o. 6</w:t>
      </w:r>
    </w:p>
    <w:p w:rsidR="00937281" w:rsidRPr="00CC51E2" w:rsidRDefault="00937281" w:rsidP="00937281">
      <w:pPr>
        <w:spacing w:after="0" w:line="240" w:lineRule="auto"/>
        <w:jc w:val="center"/>
        <w:rPr>
          <w:rFonts w:ascii="Arial" w:hAnsi="Arial" w:cs="Arial"/>
          <w:b/>
          <w:sz w:val="20"/>
          <w:szCs w:val="20"/>
        </w:rPr>
      </w:pPr>
    </w:p>
    <w:p w:rsidR="00804131" w:rsidRPr="00CC51E2" w:rsidRDefault="00804131" w:rsidP="00937281">
      <w:pPr>
        <w:spacing w:after="0" w:line="312" w:lineRule="auto"/>
        <w:jc w:val="both"/>
        <w:rPr>
          <w:rFonts w:ascii="Arial" w:hAnsi="Arial" w:cs="Arial"/>
          <w:sz w:val="20"/>
          <w:szCs w:val="20"/>
        </w:rPr>
      </w:pPr>
    </w:p>
    <w:p w:rsidR="00937281" w:rsidRPr="00CC51E2" w:rsidRDefault="00937281" w:rsidP="00937281">
      <w:pPr>
        <w:spacing w:after="0" w:line="312" w:lineRule="auto"/>
        <w:jc w:val="both"/>
        <w:rPr>
          <w:rFonts w:ascii="Arial" w:hAnsi="Arial" w:cs="Arial"/>
          <w:sz w:val="20"/>
          <w:szCs w:val="20"/>
        </w:rPr>
      </w:pPr>
      <w:r w:rsidRPr="00CC51E2">
        <w:rPr>
          <w:rFonts w:ascii="Arial" w:hAnsi="Arial" w:cs="Arial"/>
          <w:sz w:val="20"/>
          <w:szCs w:val="20"/>
        </w:rPr>
        <w:t>La gestión de la Subdirección Administrativa frente al Plan de Adquisiciones de la vigencia 2017 ha sido satisfactoria</w:t>
      </w:r>
      <w:r w:rsidR="00042B68" w:rsidRPr="00CC51E2">
        <w:rPr>
          <w:rFonts w:ascii="Arial" w:hAnsi="Arial" w:cs="Arial"/>
          <w:sz w:val="20"/>
          <w:szCs w:val="20"/>
        </w:rPr>
        <w:t xml:space="preserve">. </w:t>
      </w:r>
      <w:r w:rsidR="00DC39EF" w:rsidRPr="00CC51E2">
        <w:rPr>
          <w:rFonts w:ascii="Arial" w:hAnsi="Arial" w:cs="Arial"/>
          <w:sz w:val="20"/>
          <w:szCs w:val="20"/>
        </w:rPr>
        <w:t>El avance a 31 de octubre</w:t>
      </w:r>
      <w:r w:rsidR="00BA0CF3" w:rsidRPr="00CC51E2">
        <w:rPr>
          <w:rFonts w:ascii="Arial" w:hAnsi="Arial" w:cs="Arial"/>
          <w:sz w:val="20"/>
          <w:szCs w:val="20"/>
        </w:rPr>
        <w:t xml:space="preserve"> de 2017 en Inversión es</w:t>
      </w:r>
      <w:r w:rsidRPr="00CC51E2">
        <w:rPr>
          <w:rFonts w:ascii="Arial" w:hAnsi="Arial" w:cs="Arial"/>
          <w:sz w:val="20"/>
          <w:szCs w:val="20"/>
        </w:rPr>
        <w:t xml:space="preserve"> de un 86% y en Funcionamiento de</w:t>
      </w:r>
      <w:r w:rsidR="00042B68" w:rsidRPr="00CC51E2">
        <w:rPr>
          <w:rFonts w:ascii="Arial" w:hAnsi="Arial" w:cs="Arial"/>
          <w:sz w:val="20"/>
          <w:szCs w:val="20"/>
        </w:rPr>
        <w:t>l</w:t>
      </w:r>
      <w:r w:rsidRPr="00CC51E2">
        <w:rPr>
          <w:rFonts w:ascii="Arial" w:hAnsi="Arial" w:cs="Arial"/>
          <w:sz w:val="20"/>
          <w:szCs w:val="20"/>
        </w:rPr>
        <w:t xml:space="preserve"> 82%, evidencia</w:t>
      </w:r>
      <w:r w:rsidR="00042B68" w:rsidRPr="00CC51E2">
        <w:rPr>
          <w:rFonts w:ascii="Arial" w:hAnsi="Arial" w:cs="Arial"/>
          <w:sz w:val="20"/>
          <w:szCs w:val="20"/>
        </w:rPr>
        <w:t>ndo</w:t>
      </w:r>
      <w:r w:rsidRPr="00CC51E2">
        <w:rPr>
          <w:rFonts w:ascii="Arial" w:hAnsi="Arial" w:cs="Arial"/>
          <w:sz w:val="20"/>
          <w:szCs w:val="20"/>
        </w:rPr>
        <w:t xml:space="preserve"> </w:t>
      </w:r>
      <w:r w:rsidR="00042B68" w:rsidRPr="00CC51E2">
        <w:rPr>
          <w:rFonts w:ascii="Arial" w:hAnsi="Arial" w:cs="Arial"/>
          <w:sz w:val="20"/>
          <w:szCs w:val="20"/>
        </w:rPr>
        <w:t xml:space="preserve">el adelanto de </w:t>
      </w:r>
      <w:r w:rsidRPr="00CC51E2">
        <w:rPr>
          <w:rFonts w:ascii="Arial" w:hAnsi="Arial" w:cs="Arial"/>
          <w:sz w:val="20"/>
          <w:szCs w:val="20"/>
        </w:rPr>
        <w:t xml:space="preserve">los procesos contractuales </w:t>
      </w:r>
      <w:r w:rsidR="00042B68" w:rsidRPr="00CC51E2">
        <w:rPr>
          <w:rFonts w:ascii="Arial" w:hAnsi="Arial" w:cs="Arial"/>
          <w:sz w:val="20"/>
          <w:szCs w:val="20"/>
        </w:rPr>
        <w:t xml:space="preserve">correspondientes a </w:t>
      </w:r>
      <w:r w:rsidRPr="00CC51E2">
        <w:rPr>
          <w:rFonts w:ascii="Arial" w:hAnsi="Arial" w:cs="Arial"/>
          <w:sz w:val="20"/>
          <w:szCs w:val="20"/>
        </w:rPr>
        <w:t>la gestión administrativa de la Entidad.</w:t>
      </w:r>
    </w:p>
    <w:p w:rsidR="00804131" w:rsidRPr="00CC51E2" w:rsidRDefault="00804131" w:rsidP="00937281">
      <w:pPr>
        <w:spacing w:after="0" w:line="312" w:lineRule="auto"/>
        <w:jc w:val="both"/>
        <w:rPr>
          <w:rFonts w:ascii="Arial" w:hAnsi="Arial" w:cs="Arial"/>
          <w:sz w:val="20"/>
          <w:szCs w:val="20"/>
        </w:rPr>
      </w:pPr>
    </w:p>
    <w:p w:rsidR="00804131" w:rsidRPr="00CC51E2" w:rsidRDefault="00804131" w:rsidP="00937281">
      <w:pPr>
        <w:spacing w:after="0" w:line="312" w:lineRule="auto"/>
        <w:jc w:val="both"/>
        <w:rPr>
          <w:rFonts w:ascii="Arial" w:hAnsi="Arial" w:cs="Arial"/>
          <w:sz w:val="20"/>
          <w:szCs w:val="20"/>
        </w:rPr>
      </w:pPr>
      <w:r w:rsidRPr="00CC51E2">
        <w:rPr>
          <w:rFonts w:ascii="Arial" w:hAnsi="Arial" w:cs="Arial"/>
          <w:sz w:val="20"/>
          <w:szCs w:val="20"/>
        </w:rPr>
        <w:t>Las actividades de mayor compromiso respecto al funcionamiento de la Entidad se encuentran adjudicadas y en ejecución, tales como:</w:t>
      </w:r>
    </w:p>
    <w:p w:rsidR="00804131" w:rsidRPr="00CC51E2" w:rsidRDefault="00804131" w:rsidP="00937281">
      <w:pPr>
        <w:spacing w:after="0" w:line="312" w:lineRule="auto"/>
        <w:jc w:val="both"/>
        <w:rPr>
          <w:rFonts w:ascii="Arial" w:hAnsi="Arial" w:cs="Arial"/>
          <w:sz w:val="20"/>
          <w:szCs w:val="20"/>
        </w:rPr>
      </w:pP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Seguridad y vigilancia.</w:t>
      </w: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Aseo y cafetería.</w:t>
      </w: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Servicios de Mensajería</w:t>
      </w:r>
    </w:p>
    <w:p w:rsidR="00042B68" w:rsidRPr="00CC51E2" w:rsidRDefault="00042B68"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 de Fotocopiado</w:t>
      </w:r>
    </w:p>
    <w:p w:rsidR="00804131" w:rsidRPr="00CC51E2" w:rsidRDefault="00042B68"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Servicios de Transporte</w:t>
      </w:r>
    </w:p>
    <w:p w:rsidR="00804131" w:rsidRPr="00CC51E2" w:rsidRDefault="00804131" w:rsidP="00804131">
      <w:pPr>
        <w:spacing w:after="0" w:line="312" w:lineRule="auto"/>
        <w:jc w:val="both"/>
        <w:rPr>
          <w:rFonts w:ascii="Arial" w:hAnsi="Arial" w:cs="Arial"/>
          <w:sz w:val="20"/>
          <w:szCs w:val="20"/>
        </w:rPr>
      </w:pPr>
    </w:p>
    <w:p w:rsidR="00804131" w:rsidRPr="00CC51E2" w:rsidRDefault="00042B68" w:rsidP="00804131">
      <w:pPr>
        <w:spacing w:after="0" w:line="312" w:lineRule="auto"/>
        <w:jc w:val="both"/>
        <w:rPr>
          <w:rFonts w:ascii="Arial" w:hAnsi="Arial" w:cs="Arial"/>
          <w:sz w:val="20"/>
          <w:szCs w:val="20"/>
        </w:rPr>
      </w:pPr>
      <w:r w:rsidRPr="00CC51E2">
        <w:rPr>
          <w:rFonts w:ascii="Arial" w:hAnsi="Arial" w:cs="Arial"/>
          <w:sz w:val="20"/>
          <w:szCs w:val="20"/>
        </w:rPr>
        <w:t>E</w:t>
      </w:r>
      <w:r w:rsidR="00804131" w:rsidRPr="00CC51E2">
        <w:rPr>
          <w:rFonts w:ascii="Arial" w:hAnsi="Arial" w:cs="Arial"/>
          <w:sz w:val="20"/>
          <w:szCs w:val="20"/>
        </w:rPr>
        <w:t xml:space="preserve">stán </w:t>
      </w:r>
      <w:r w:rsidRPr="00CC51E2">
        <w:rPr>
          <w:rFonts w:ascii="Arial" w:hAnsi="Arial" w:cs="Arial"/>
          <w:sz w:val="20"/>
          <w:szCs w:val="20"/>
        </w:rPr>
        <w:t xml:space="preserve">en proceso otros procesos </w:t>
      </w:r>
      <w:r w:rsidR="00804131" w:rsidRPr="00CC51E2">
        <w:rPr>
          <w:rFonts w:ascii="Arial" w:hAnsi="Arial" w:cs="Arial"/>
          <w:sz w:val="20"/>
          <w:szCs w:val="20"/>
        </w:rPr>
        <w:t xml:space="preserve">que se encuentran vigentes en el Plan de Adquisiciones y </w:t>
      </w:r>
      <w:r w:rsidRPr="00CC51E2">
        <w:rPr>
          <w:rFonts w:ascii="Arial" w:hAnsi="Arial" w:cs="Arial"/>
          <w:sz w:val="20"/>
          <w:szCs w:val="20"/>
        </w:rPr>
        <w:t xml:space="preserve">aún </w:t>
      </w:r>
      <w:r w:rsidR="00804131" w:rsidRPr="00CC51E2">
        <w:rPr>
          <w:rFonts w:ascii="Arial" w:hAnsi="Arial" w:cs="Arial"/>
          <w:sz w:val="20"/>
          <w:szCs w:val="20"/>
        </w:rPr>
        <w:t>no están vencid</w:t>
      </w:r>
      <w:r w:rsidRPr="00CC51E2">
        <w:rPr>
          <w:rFonts w:ascii="Arial" w:hAnsi="Arial" w:cs="Arial"/>
          <w:sz w:val="20"/>
          <w:szCs w:val="20"/>
        </w:rPr>
        <w:t>o</w:t>
      </w:r>
      <w:r w:rsidR="00804131" w:rsidRPr="00CC51E2">
        <w:rPr>
          <w:rFonts w:ascii="Arial" w:hAnsi="Arial" w:cs="Arial"/>
          <w:sz w:val="20"/>
          <w:szCs w:val="20"/>
        </w:rPr>
        <w:t xml:space="preserve">s </w:t>
      </w:r>
      <w:r w:rsidRPr="00CC51E2">
        <w:rPr>
          <w:rFonts w:ascii="Arial" w:hAnsi="Arial" w:cs="Arial"/>
          <w:sz w:val="20"/>
          <w:szCs w:val="20"/>
        </w:rPr>
        <w:t>los</w:t>
      </w:r>
      <w:r w:rsidR="00804131" w:rsidRPr="00CC51E2">
        <w:rPr>
          <w:rFonts w:ascii="Arial" w:hAnsi="Arial" w:cs="Arial"/>
          <w:sz w:val="20"/>
          <w:szCs w:val="20"/>
        </w:rPr>
        <w:t xml:space="preserve"> términos. </w:t>
      </w:r>
    </w:p>
    <w:p w:rsidR="00937281" w:rsidRPr="00CC51E2" w:rsidRDefault="00937281" w:rsidP="00937281">
      <w:pPr>
        <w:spacing w:after="0" w:line="312" w:lineRule="auto"/>
        <w:jc w:val="both"/>
        <w:rPr>
          <w:rFonts w:ascii="Arial" w:hAnsi="Arial" w:cs="Arial"/>
          <w:sz w:val="20"/>
          <w:szCs w:val="20"/>
        </w:rPr>
      </w:pPr>
    </w:p>
    <w:p w:rsidR="00937281" w:rsidRPr="00CC51E2" w:rsidRDefault="00937281" w:rsidP="00937281">
      <w:pPr>
        <w:spacing w:after="0" w:line="312" w:lineRule="auto"/>
        <w:jc w:val="both"/>
        <w:rPr>
          <w:rFonts w:ascii="Arial" w:hAnsi="Arial" w:cs="Arial"/>
          <w:sz w:val="20"/>
          <w:szCs w:val="20"/>
        </w:rPr>
      </w:pPr>
      <w:r w:rsidRPr="00CC51E2">
        <w:rPr>
          <w:rFonts w:ascii="Arial" w:hAnsi="Arial" w:cs="Arial"/>
          <w:sz w:val="20"/>
          <w:szCs w:val="20"/>
        </w:rPr>
        <w:t xml:space="preserve">  </w:t>
      </w:r>
    </w:p>
    <w:p w:rsidR="00937281" w:rsidRPr="00CC51E2" w:rsidRDefault="00937281" w:rsidP="00937281">
      <w:pPr>
        <w:spacing w:after="0" w:line="312" w:lineRule="auto"/>
        <w:jc w:val="both"/>
        <w:rPr>
          <w:rFonts w:ascii="Arial" w:hAnsi="Arial" w:cs="Arial"/>
          <w:sz w:val="20"/>
          <w:szCs w:val="20"/>
        </w:rPr>
        <w:sectPr w:rsidR="00937281" w:rsidRPr="00CC51E2" w:rsidSect="00B53B3E">
          <w:headerReference w:type="default" r:id="rId207"/>
          <w:footerReference w:type="default" r:id="rId208"/>
          <w:pgSz w:w="12240" w:h="15840" w:code="1"/>
          <w:pgMar w:top="748" w:right="1134" w:bottom="1559" w:left="1701" w:header="709" w:footer="614" w:gutter="0"/>
          <w:cols w:space="708"/>
          <w:docGrid w:linePitch="360"/>
        </w:sectPr>
      </w:pPr>
    </w:p>
    <w:p w:rsidR="00937281" w:rsidRPr="00CC51E2" w:rsidRDefault="00937281" w:rsidP="00937281">
      <w:pPr>
        <w:pStyle w:val="Prrafodelista"/>
        <w:spacing w:after="0" w:line="240" w:lineRule="auto"/>
        <w:rPr>
          <w:rFonts w:ascii="Arial" w:hAnsi="Arial" w:cs="Arial"/>
          <w:b/>
          <w:sz w:val="20"/>
          <w:szCs w:val="20"/>
        </w:rPr>
      </w:pPr>
    </w:p>
    <w:p w:rsidR="00B421A6"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color w:val="1F497D" w:themeColor="text2"/>
          <w:sz w:val="20"/>
          <w:szCs w:val="20"/>
        </w:rPr>
        <w:t>GESTIÓN CONTRACTUAL.</w:t>
      </w:r>
    </w:p>
    <w:p w:rsidR="00B421A6" w:rsidRPr="00CC51E2" w:rsidRDefault="00B421A6" w:rsidP="00B421A6">
      <w:pPr>
        <w:spacing w:after="0" w:line="240" w:lineRule="auto"/>
        <w:jc w:val="center"/>
        <w:rPr>
          <w:rFonts w:ascii="Arial" w:hAnsi="Arial"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3"/>
        <w:gridCol w:w="882"/>
        <w:gridCol w:w="679"/>
        <w:gridCol w:w="1571"/>
        <w:gridCol w:w="1263"/>
        <w:gridCol w:w="1277"/>
        <w:gridCol w:w="2253"/>
        <w:gridCol w:w="2445"/>
        <w:gridCol w:w="2450"/>
      </w:tblGrid>
      <w:tr w:rsidR="00A47EB6" w:rsidRPr="00CC51E2" w:rsidTr="005E5C6F">
        <w:trPr>
          <w:trHeight w:val="628"/>
          <w:tblHeader/>
        </w:trPr>
        <w:tc>
          <w:tcPr>
            <w:tcW w:w="5000" w:type="pct"/>
            <w:gridSpan w:val="9"/>
            <w:shd w:val="clear" w:color="000000" w:fill="44546A"/>
            <w:noWrap/>
            <w:vAlign w:val="center"/>
            <w:hideMark/>
          </w:tcPr>
          <w:p w:rsidR="00A47EB6" w:rsidRPr="00CC51E2" w:rsidRDefault="00A47EB6" w:rsidP="00A47EB6">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CONTRATOS </w:t>
            </w:r>
            <w:r w:rsidR="003643F9" w:rsidRPr="00CC51E2">
              <w:rPr>
                <w:rFonts w:ascii="Arial" w:eastAsia="Times New Roman" w:hAnsi="Arial" w:cs="Arial"/>
                <w:b/>
                <w:bCs/>
                <w:color w:val="FFFFFF"/>
                <w:sz w:val="20"/>
                <w:szCs w:val="20"/>
                <w:lang w:val="es-ES" w:eastAsia="es-ES"/>
              </w:rPr>
              <w:t xml:space="preserve">VIGENTES A CARGO DE LA </w:t>
            </w:r>
            <w:r w:rsidRPr="00CC51E2">
              <w:rPr>
                <w:rFonts w:ascii="Arial" w:eastAsia="Times New Roman" w:hAnsi="Arial" w:cs="Arial"/>
                <w:b/>
                <w:bCs/>
                <w:color w:val="FFFFFF"/>
                <w:sz w:val="20"/>
                <w:szCs w:val="20"/>
                <w:lang w:val="es-ES" w:eastAsia="es-ES"/>
              </w:rPr>
              <w:t>SUBDIRECCIÓN ADMINISTRATIVA</w:t>
            </w:r>
          </w:p>
        </w:tc>
      </w:tr>
      <w:tr w:rsidR="00474DA6" w:rsidRPr="00CC51E2" w:rsidTr="00AF4A53">
        <w:trPr>
          <w:trHeight w:val="975"/>
          <w:tblHeader/>
        </w:trPr>
        <w:tc>
          <w:tcPr>
            <w:tcW w:w="260"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Cons</w:t>
            </w:r>
            <w:r w:rsidR="003643F9" w:rsidRPr="00CC51E2">
              <w:rPr>
                <w:rFonts w:ascii="Arial" w:eastAsia="Times New Roman" w:hAnsi="Arial" w:cs="Arial"/>
                <w:b/>
                <w:bCs/>
                <w:color w:val="000000"/>
                <w:sz w:val="20"/>
                <w:szCs w:val="20"/>
                <w:lang w:val="es-ES" w:eastAsia="es-ES"/>
              </w:rPr>
              <w:t>.</w:t>
            </w:r>
          </w:p>
        </w:tc>
        <w:tc>
          <w:tcPr>
            <w:tcW w:w="326"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Número de Contrato</w:t>
            </w:r>
          </w:p>
        </w:tc>
        <w:tc>
          <w:tcPr>
            <w:tcW w:w="251"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Año</w:t>
            </w:r>
          </w:p>
        </w:tc>
        <w:tc>
          <w:tcPr>
            <w:tcW w:w="581"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Objeto del contrato</w:t>
            </w:r>
          </w:p>
        </w:tc>
        <w:tc>
          <w:tcPr>
            <w:tcW w:w="467"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Fecha de Inicio contrato</w:t>
            </w:r>
          </w:p>
        </w:tc>
        <w:tc>
          <w:tcPr>
            <w:tcW w:w="472"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Fecha de Terminación del contrato</w:t>
            </w:r>
          </w:p>
        </w:tc>
        <w:tc>
          <w:tcPr>
            <w:tcW w:w="833"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Total del contrato</w:t>
            </w:r>
          </w:p>
        </w:tc>
        <w:tc>
          <w:tcPr>
            <w:tcW w:w="904"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Real ejecutado a la fecha</w:t>
            </w:r>
          </w:p>
        </w:tc>
        <w:tc>
          <w:tcPr>
            <w:tcW w:w="906"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Ejecución Financiera del contrato</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256</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w:t>
            </w:r>
            <w:r w:rsidR="003643F9" w:rsidRPr="00CC51E2">
              <w:rPr>
                <w:rFonts w:ascii="Arial" w:eastAsia="Times New Roman" w:hAnsi="Arial" w:cs="Arial"/>
                <w:color w:val="000000"/>
                <w:sz w:val="20"/>
                <w:szCs w:val="20"/>
                <w:lang w:val="es-ES" w:eastAsia="es-ES"/>
              </w:rPr>
              <w:t>restar el servicio de mantenimiento preventivo y correctivo para el sistema de bombeo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08/09/2017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$ 5.600.000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$ 3.994.808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$ 3.994.808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253</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w:t>
            </w:r>
            <w:r w:rsidR="003643F9" w:rsidRPr="00CC51E2">
              <w:rPr>
                <w:rFonts w:ascii="Arial" w:eastAsia="Times New Roman" w:hAnsi="Arial" w:cs="Arial"/>
                <w:color w:val="000000"/>
                <w:sz w:val="20"/>
                <w:szCs w:val="20"/>
                <w:lang w:val="es-ES" w:eastAsia="es-ES"/>
              </w:rPr>
              <w:t>dquisición de elementos de ferretería para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02/06/2016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01/12/2017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$ 16.000.000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$ 6.083.022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$ 5.593.351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595</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w:t>
            </w:r>
            <w:r w:rsidR="003643F9" w:rsidRPr="00CC51E2">
              <w:rPr>
                <w:rFonts w:ascii="Arial" w:eastAsia="Times New Roman" w:hAnsi="Arial" w:cs="Arial"/>
                <w:color w:val="000000"/>
                <w:sz w:val="20"/>
                <w:szCs w:val="20"/>
                <w:lang w:val="es-ES" w:eastAsia="es-ES"/>
              </w:rPr>
              <w:t>dquisición e instalación de mobiliario de oficina para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05/01/2017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04/09/2017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$ 44.904.709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$ 39.318.061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$ 25.092.404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4</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367</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vestido labor con destino a las trabajadoras de planta de la caja de la vivienda popular con derecho a dotación legal</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$ 9.311.794,79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368</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calzado dama labor con destino a las trabajadoras de planta de la caja de la vivienda popular con derecho a dotación legal</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$ 2.678.020,34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369</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 xml:space="preserve">uministro de vestido de caballero de labor con destino a los trabajadores de planta de la caja de la vivienda </w:t>
            </w:r>
            <w:r w:rsidR="003643F9" w:rsidRPr="00CC51E2">
              <w:rPr>
                <w:rFonts w:ascii="Arial" w:eastAsia="Times New Roman" w:hAnsi="Arial" w:cs="Arial"/>
                <w:color w:val="000000"/>
                <w:sz w:val="20"/>
                <w:szCs w:val="20"/>
                <w:lang w:val="es-ES" w:eastAsia="es-ES"/>
              </w:rPr>
              <w:lastRenderedPageBreak/>
              <w:t>popular con derecho a dotación legal</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25/04/2017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$ 6.211.800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370</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calzado de caballero de labor con destino a los trabajadores de planta de la caja de la vivienda popular con derecho a dotación legal</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$ 1.766.452,69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412</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alimentación y catering requeridos para realizar las actividades programadas en desarrollo de las funciones de la entidad</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14/06/2017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13/02/2018</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$ 286.658.076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$ 9.516.786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23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9</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423</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w:t>
            </w:r>
            <w:r w:rsidR="003643F9" w:rsidRPr="00CC51E2">
              <w:rPr>
                <w:rFonts w:ascii="Arial" w:eastAsia="Times New Roman" w:hAnsi="Arial" w:cs="Arial"/>
                <w:color w:val="000000"/>
                <w:sz w:val="20"/>
                <w:szCs w:val="20"/>
                <w:lang w:val="es-ES" w:eastAsia="es-ES"/>
              </w:rPr>
              <w:t xml:space="preserve">restar el servicio de vigilancia, guarda, custodia y seguridad privada con armas y/o sin armas; medios tecnológicos y control de acceso para los/as usuarios/as, funcionarios/as y personas en general mediante el establecimiento de controles de ingreso y salida de las instalaciones de la entidad y para los bienes muebles e inmuebles en los cuales se </w:t>
            </w:r>
            <w:r w:rsidR="003643F9" w:rsidRPr="00CC51E2">
              <w:rPr>
                <w:rFonts w:ascii="Arial" w:eastAsia="Times New Roman" w:hAnsi="Arial" w:cs="Arial"/>
                <w:color w:val="000000"/>
                <w:sz w:val="20"/>
                <w:szCs w:val="20"/>
                <w:lang w:val="es-ES" w:eastAsia="es-ES"/>
              </w:rPr>
              <w:lastRenderedPageBreak/>
              <w:t>desarrolle la misionalidad de la caja de la vivienda popular y de todos aquellos por los cuales llegase a ser legalmente responsable de acuerdo a los lineamientos previstos en el pliego de condiciones y en la propuesta presentada.</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01/07/2017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30/04/2018</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$ 965.194.020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611</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Realizar las reparaciones locativas requeridas en el sótano, primer nivel, archivo y demás zonas priorizadas de la sede de la caja de la vivienda </w:t>
            </w:r>
            <w:r w:rsidRPr="00CC51E2">
              <w:rPr>
                <w:rFonts w:ascii="Arial" w:eastAsia="Times New Roman" w:hAnsi="Arial" w:cs="Arial"/>
                <w:color w:val="000000"/>
                <w:sz w:val="20"/>
                <w:szCs w:val="20"/>
                <w:lang w:val="es-ES" w:eastAsia="es-ES"/>
              </w:rPr>
              <w:lastRenderedPageBreak/>
              <w:t>popular, ubicada en la calle 54 no. 13-30 de la ciudad de Bogotá D.C</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18/01/2017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09/06/2017</w:t>
            </w:r>
          </w:p>
        </w:tc>
        <w:tc>
          <w:tcPr>
            <w:tcW w:w="833"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494.513.187 </w:t>
            </w:r>
          </w:p>
        </w:tc>
        <w:tc>
          <w:tcPr>
            <w:tcW w:w="904"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494.112.250 </w:t>
            </w:r>
          </w:p>
        </w:tc>
        <w:tc>
          <w:tcPr>
            <w:tcW w:w="906"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444.701.025 </w:t>
            </w:r>
          </w:p>
        </w:tc>
      </w:tr>
      <w:tr w:rsidR="00474DA6" w:rsidRPr="00CC51E2" w:rsidTr="00AF4A53">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586</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Interventoría técnica, financiera, administrativa, legal, social y ambiental a las reparaciones locativas requeridas en el sótano, primer nivel, archivo y demás zonas priorizadas en la sede de la caja de la vivienda popular, ubicada en la calle 54 # 13 - 30, en la ciudad de Bogotá.</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18/01/2017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09/06/2017</w:t>
            </w:r>
          </w:p>
        </w:tc>
        <w:tc>
          <w:tcPr>
            <w:tcW w:w="833" w:type="pct"/>
            <w:shd w:val="clear" w:color="000000" w:fill="FFFFFF"/>
            <w:vAlign w:val="center"/>
            <w:hideMark/>
          </w:tcPr>
          <w:p w:rsidR="00A47EB6" w:rsidRPr="00CC51E2" w:rsidRDefault="00A47EB6" w:rsidP="00E06912">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w:t>
            </w:r>
            <w:r w:rsidR="00E06912" w:rsidRPr="00CC51E2">
              <w:rPr>
                <w:rFonts w:ascii="Arial" w:eastAsia="Times New Roman" w:hAnsi="Arial" w:cs="Arial"/>
                <w:color w:val="000000"/>
                <w:sz w:val="20"/>
                <w:szCs w:val="20"/>
                <w:lang w:val="es-ES" w:eastAsia="es-ES"/>
              </w:rPr>
              <w:t xml:space="preserve">28.992.897 </w:t>
            </w:r>
            <w:r w:rsidRPr="00CC51E2">
              <w:rPr>
                <w:rFonts w:ascii="Arial" w:eastAsia="Times New Roman" w:hAnsi="Arial" w:cs="Arial"/>
                <w:color w:val="000000"/>
                <w:sz w:val="20"/>
                <w:szCs w:val="20"/>
                <w:lang w:val="es-ES" w:eastAsia="es-ES"/>
              </w:rPr>
              <w:t xml:space="preserve">                      </w:t>
            </w:r>
          </w:p>
        </w:tc>
        <w:tc>
          <w:tcPr>
            <w:tcW w:w="904" w:type="pct"/>
            <w:shd w:val="clear" w:color="000000" w:fill="FFFFFF"/>
            <w:vAlign w:val="center"/>
            <w:hideMark/>
          </w:tcPr>
          <w:p w:rsidR="00A47EB6" w:rsidRPr="00CC51E2" w:rsidRDefault="00E06912"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$ 28.992.897                       </w:t>
            </w:r>
          </w:p>
        </w:tc>
        <w:tc>
          <w:tcPr>
            <w:tcW w:w="906" w:type="pct"/>
            <w:shd w:val="clear" w:color="000000" w:fill="FFFFFF"/>
            <w:vAlign w:val="center"/>
            <w:hideMark/>
          </w:tcPr>
          <w:p w:rsidR="00A47EB6" w:rsidRPr="00CC51E2" w:rsidRDefault="00A47EB6" w:rsidP="00E06912">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E06912"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27.543.252 </w:t>
            </w:r>
          </w:p>
        </w:tc>
      </w:tr>
      <w:tr w:rsidR="00474DA6" w:rsidRPr="00CC51E2" w:rsidTr="00AF4A53">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12</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268</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los servicios para la realización de los exámenes médicos pre ocupacionales o de pre ingreso, periódicos programados, por cambio de ocupación, post-incapacidad o reintegro y/o egreso y evaluar el estado de salud de los funcionarios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10/11/2017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$ 27.500.000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$ 12.046.000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2A2796"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5.146.000 </w:t>
            </w:r>
          </w:p>
        </w:tc>
      </w:tr>
      <w:tr w:rsidR="00474DA6" w:rsidRPr="00CC51E2" w:rsidTr="00AF4A53">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13</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435</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adquisición de elementos de protección personal requeridos para el personal de la caja de la vivienda popular de conformidad con las especificaciones técnicas establecidas por la entidad"</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01/08/2017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$ 20.533.945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402</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B06670"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el arrendamiento de un inmueble para la atención oportuna y de calidad a los usuarios de la caja de la vivienda popular a través de atención al ciudadano en el </w:t>
            </w:r>
            <w:r w:rsidRPr="00CC51E2">
              <w:rPr>
                <w:rFonts w:ascii="Arial" w:eastAsia="Times New Roman" w:hAnsi="Arial" w:cs="Arial"/>
                <w:color w:val="000000"/>
                <w:sz w:val="20"/>
                <w:szCs w:val="20"/>
                <w:lang w:val="es-ES" w:eastAsia="es-ES"/>
              </w:rPr>
              <w:lastRenderedPageBreak/>
              <w:t>local de la cra. 13 # 54-21.</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24/09/2016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23/09/2017</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$ 146.186.874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$ 124.664.912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$ 124.664.912 </w:t>
            </w:r>
          </w:p>
        </w:tc>
      </w:tr>
      <w:tr w:rsidR="00474DA6" w:rsidRPr="00CC51E2" w:rsidTr="00AF4A53">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el arrendamiento de bodega para el archivo de </w:t>
            </w:r>
            <w:r w:rsidR="003643F9" w:rsidRPr="00CC51E2">
              <w:rPr>
                <w:rFonts w:ascii="Arial" w:eastAsia="Times New Roman" w:hAnsi="Arial" w:cs="Arial"/>
                <w:color w:val="000000"/>
                <w:sz w:val="20"/>
                <w:szCs w:val="20"/>
                <w:lang w:val="es-ES" w:eastAsia="es-ES"/>
              </w:rPr>
              <w:t>gestión</w:t>
            </w:r>
            <w:r w:rsidRPr="00CC51E2">
              <w:rPr>
                <w:rFonts w:ascii="Arial" w:eastAsia="Times New Roman" w:hAnsi="Arial" w:cs="Arial"/>
                <w:color w:val="000000"/>
                <w:sz w:val="20"/>
                <w:szCs w:val="20"/>
                <w:lang w:val="es-ES" w:eastAsia="es-ES"/>
              </w:rPr>
              <w:t xml:space="preserve"> documental de la CVP según Acuerdo No. 049 de 2000 del AGN</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23/01/2017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22/01/2018</w:t>
            </w:r>
          </w:p>
        </w:tc>
        <w:tc>
          <w:tcPr>
            <w:tcW w:w="833"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66.854.076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29.341.511 </w:t>
            </w:r>
          </w:p>
        </w:tc>
        <w:tc>
          <w:tcPr>
            <w:tcW w:w="906"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29.341.511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001</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el suministro de combustible (gasolina corriente) para los vehículos de propiedad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06/01/2016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15/08/2017</w:t>
            </w:r>
          </w:p>
        </w:tc>
        <w:tc>
          <w:tcPr>
            <w:tcW w:w="833"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15.303.342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$ 14.366.328 </w:t>
            </w:r>
          </w:p>
        </w:tc>
        <w:tc>
          <w:tcPr>
            <w:tcW w:w="906"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14.366.328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17</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255</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prestación del servicio de mantenimiento preventivo y correctivo con suministro de repuestos para el elevador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24/06/2016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23/11/2017</w:t>
            </w:r>
          </w:p>
        </w:tc>
        <w:tc>
          <w:tcPr>
            <w:tcW w:w="833"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9.820.560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5.776.800 </w:t>
            </w:r>
          </w:p>
        </w:tc>
        <w:tc>
          <w:tcPr>
            <w:tcW w:w="906"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5.295.400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511</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Suministro de Elementos de Papelería y Oficina requeridos por las diferentes dependencias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01/12/2016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31/07/2017</w:t>
            </w:r>
          </w:p>
        </w:tc>
        <w:tc>
          <w:tcPr>
            <w:tcW w:w="833"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30.526.124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29.867.985 </w:t>
            </w:r>
          </w:p>
        </w:tc>
        <w:tc>
          <w:tcPr>
            <w:tcW w:w="906"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17.030.783 </w:t>
            </w:r>
          </w:p>
        </w:tc>
      </w:tr>
      <w:tr w:rsidR="00474DA6" w:rsidRPr="00CC51E2" w:rsidTr="00AF4A53">
        <w:trPr>
          <w:trHeight w:val="391"/>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19</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288</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Público de Transporte Terrestre Automotor Especial en la </w:t>
            </w:r>
            <w:r w:rsidRPr="00CC51E2">
              <w:rPr>
                <w:rFonts w:ascii="Arial" w:eastAsia="Times New Roman" w:hAnsi="Arial" w:cs="Arial"/>
                <w:color w:val="000000"/>
                <w:sz w:val="20"/>
                <w:szCs w:val="20"/>
                <w:lang w:val="es-ES" w:eastAsia="es-ES"/>
              </w:rPr>
              <w:lastRenderedPageBreak/>
              <w:t>Modalidad de Buses, Busetas, Microbuses y Vans para la Caja de la Vivienda Popular – Grupo No. 2</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21/07/2016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20/12/2017</w:t>
            </w:r>
          </w:p>
        </w:tc>
        <w:tc>
          <w:tcPr>
            <w:tcW w:w="833"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888.444.717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64.334.599 </w:t>
            </w:r>
          </w:p>
        </w:tc>
        <w:tc>
          <w:tcPr>
            <w:tcW w:w="906"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60.759.265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287</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Público de Transporte Terrestre Automotor Especial en la Modalidad de Buses, </w:t>
            </w:r>
            <w:r w:rsidR="003643F9" w:rsidRPr="00CC51E2">
              <w:rPr>
                <w:rFonts w:ascii="Arial" w:eastAsia="Times New Roman" w:hAnsi="Arial" w:cs="Arial"/>
                <w:color w:val="000000"/>
                <w:sz w:val="20"/>
                <w:szCs w:val="20"/>
                <w:lang w:val="es-ES" w:eastAsia="es-ES"/>
              </w:rPr>
              <w:t>Busetas, Microbuses</w:t>
            </w:r>
            <w:r w:rsidRPr="00CC51E2">
              <w:rPr>
                <w:rFonts w:ascii="Arial" w:eastAsia="Times New Roman" w:hAnsi="Arial" w:cs="Arial"/>
                <w:color w:val="000000"/>
                <w:sz w:val="20"/>
                <w:szCs w:val="20"/>
                <w:lang w:val="es-ES" w:eastAsia="es-ES"/>
              </w:rPr>
              <w:t xml:space="preserve"> y Vans para la Caja de la Vivienda Popular – Grupo No. 1</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21/07/2016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20/12/2017</w:t>
            </w:r>
          </w:p>
        </w:tc>
        <w:tc>
          <w:tcPr>
            <w:tcW w:w="833"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32.055.283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$ 27.579.180 </w:t>
            </w:r>
          </w:p>
        </w:tc>
        <w:tc>
          <w:tcPr>
            <w:tcW w:w="906"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24.644.584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21</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076</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B06670"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Prestación de servicio integral de aseo y cafetería para las diferentes sedes de la caja de la vivienda popular</w:t>
            </w:r>
            <w:r w:rsidR="00A47EB6" w:rsidRPr="00CC51E2">
              <w:rPr>
                <w:rFonts w:ascii="Arial" w:eastAsia="Times New Roman" w:hAnsi="Arial" w:cs="Arial"/>
                <w:color w:val="000000"/>
                <w:sz w:val="20"/>
                <w:szCs w:val="20"/>
                <w:lang w:val="es-ES" w:eastAsia="es-ES"/>
              </w:rPr>
              <w:t>.</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01/03/2017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31/12/2017</w:t>
            </w:r>
          </w:p>
        </w:tc>
        <w:tc>
          <w:tcPr>
            <w:tcW w:w="833"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161.270.257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$ 64.815.204 </w:t>
            </w:r>
          </w:p>
        </w:tc>
        <w:tc>
          <w:tcPr>
            <w:tcW w:w="906"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$ 64.815.204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421</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prestación del servicio integral de fotocopiado, anillado y fotoplanos que requiera la Caja de la Vivienda Popular, de acuerdo con las especificaciones técnicas.</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04/07/2017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03/04/2018</w:t>
            </w:r>
          </w:p>
        </w:tc>
        <w:tc>
          <w:tcPr>
            <w:tcW w:w="833"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$ 141.500.000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 </w:t>
            </w:r>
          </w:p>
        </w:tc>
        <w:tc>
          <w:tcPr>
            <w:tcW w:w="906"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419</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de mensajería expresa y motorizada para la recolección, transporte y </w:t>
            </w:r>
            <w:r w:rsidRPr="00CC51E2">
              <w:rPr>
                <w:rFonts w:ascii="Arial" w:eastAsia="Times New Roman" w:hAnsi="Arial" w:cs="Arial"/>
                <w:color w:val="000000"/>
                <w:sz w:val="20"/>
                <w:szCs w:val="20"/>
                <w:lang w:val="es-ES" w:eastAsia="es-ES"/>
              </w:rPr>
              <w:lastRenderedPageBreak/>
              <w:t>entrega de la correspondencia de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04/07/2017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03/05/2018</w:t>
            </w:r>
          </w:p>
        </w:tc>
        <w:tc>
          <w:tcPr>
            <w:tcW w:w="833"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52.000.000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6"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AF4A53">
        <w:trPr>
          <w:trHeight w:val="958"/>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c>
          <w:tcPr>
            <w:tcW w:w="326"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413</w:t>
            </w:r>
          </w:p>
        </w:tc>
        <w:tc>
          <w:tcPr>
            <w:tcW w:w="251"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81"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Prestar el servicio público de transporte terrestre automotor especial para la Caja de la Vivienda Popular</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16/07/2017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15/01/2018</w:t>
            </w:r>
          </w:p>
        </w:tc>
        <w:tc>
          <w:tcPr>
            <w:tcW w:w="833"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1.396.952.000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57.415.200 </w:t>
            </w:r>
          </w:p>
        </w:tc>
        <w:tc>
          <w:tcPr>
            <w:tcW w:w="906"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 </w:t>
            </w:r>
          </w:p>
        </w:tc>
      </w:tr>
      <w:tr w:rsidR="00474DA6" w:rsidRPr="00CC51E2" w:rsidTr="00AF4A53">
        <w:trPr>
          <w:trHeight w:val="163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w:t>
            </w:r>
          </w:p>
        </w:tc>
        <w:tc>
          <w:tcPr>
            <w:tcW w:w="326"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397</w:t>
            </w:r>
          </w:p>
        </w:tc>
        <w:tc>
          <w:tcPr>
            <w:tcW w:w="251"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la prestación de servicios de bienestar social e incentivos y apoyo logístico de las actividades recreativas, culturales, pecuniarios, sede social, salones y demás </w:t>
            </w:r>
            <w:r w:rsidRPr="00CC51E2">
              <w:rPr>
                <w:rFonts w:ascii="Arial" w:eastAsia="Times New Roman" w:hAnsi="Arial" w:cs="Arial"/>
                <w:color w:val="000000"/>
                <w:sz w:val="20"/>
                <w:szCs w:val="20"/>
                <w:lang w:val="es-ES" w:eastAsia="es-ES"/>
              </w:rPr>
              <w:lastRenderedPageBreak/>
              <w:t>actividades de bienestar, las cuales tienen como fin contribuir al fortalecimiento de los procesos motivacionales, actitudinales y comportamentales de los Servidores Públicos de la Caja de la Vivienda Popular (CVP)”.</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16/09/2016</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07/07/2017</w:t>
            </w:r>
          </w:p>
        </w:tc>
        <w:tc>
          <w:tcPr>
            <w:tcW w:w="833"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73.970.838 </w:t>
            </w:r>
          </w:p>
        </w:tc>
        <w:tc>
          <w:tcPr>
            <w:tcW w:w="904"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71.736.344 </w:t>
            </w:r>
          </w:p>
        </w:tc>
        <w:tc>
          <w:tcPr>
            <w:tcW w:w="906"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71.736.344 </w:t>
            </w:r>
          </w:p>
        </w:tc>
      </w:tr>
      <w:tr w:rsidR="00474DA6" w:rsidRPr="00CC51E2" w:rsidTr="00AF4A53">
        <w:trPr>
          <w:trHeight w:val="163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26</w:t>
            </w:r>
          </w:p>
        </w:tc>
        <w:tc>
          <w:tcPr>
            <w:tcW w:w="326"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613</w:t>
            </w:r>
          </w:p>
        </w:tc>
        <w:tc>
          <w:tcPr>
            <w:tcW w:w="251"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81" w:type="pct"/>
            <w:shd w:val="clear" w:color="000000" w:fill="FFFFFF"/>
            <w:vAlign w:val="center"/>
            <w:hideMark/>
          </w:tcPr>
          <w:p w:rsidR="00A47EB6" w:rsidRPr="00CC51E2" w:rsidRDefault="00A47EB6"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integral de organización y levantamiento de inventario único documental de archivos de la Caja de la Vivienda Popular a partir de las Tablas de </w:t>
            </w:r>
            <w:r w:rsidRPr="00CC51E2">
              <w:rPr>
                <w:rFonts w:ascii="Arial" w:eastAsia="Times New Roman" w:hAnsi="Arial" w:cs="Arial"/>
                <w:color w:val="000000"/>
                <w:sz w:val="20"/>
                <w:szCs w:val="20"/>
                <w:lang w:val="es-ES" w:eastAsia="es-ES"/>
              </w:rPr>
              <w:lastRenderedPageBreak/>
              <w:t>Retención Documental convalidadas por el Consejo Distrital de Archivos de Bogotá D.C.</w:t>
            </w:r>
          </w:p>
        </w:tc>
        <w:tc>
          <w:tcPr>
            <w:tcW w:w="4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19/04/2017</w:t>
            </w:r>
          </w:p>
        </w:tc>
        <w:tc>
          <w:tcPr>
            <w:tcW w:w="47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30/11/2017</w:t>
            </w:r>
          </w:p>
        </w:tc>
        <w:tc>
          <w:tcPr>
            <w:tcW w:w="833"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$ 714.570.836 </w:t>
            </w:r>
          </w:p>
        </w:tc>
        <w:tc>
          <w:tcPr>
            <w:tcW w:w="904"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$ 227.560.084 </w:t>
            </w:r>
          </w:p>
        </w:tc>
        <w:tc>
          <w:tcPr>
            <w:tcW w:w="906"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$ 227.560.084 </w:t>
            </w:r>
          </w:p>
        </w:tc>
      </w:tr>
    </w:tbl>
    <w:p w:rsidR="0032327F" w:rsidRPr="00CC51E2" w:rsidRDefault="00583FC4" w:rsidP="00583FC4">
      <w:pPr>
        <w:spacing w:after="0" w:line="240" w:lineRule="auto"/>
        <w:jc w:val="center"/>
        <w:rPr>
          <w:rFonts w:ascii="Arial" w:hAnsi="Arial" w:cs="Arial"/>
          <w:b/>
          <w:sz w:val="20"/>
          <w:szCs w:val="20"/>
        </w:rPr>
        <w:sectPr w:rsidR="0032327F" w:rsidRPr="00CC51E2" w:rsidSect="00A47EB6">
          <w:pgSz w:w="15840" w:h="12240" w:orient="landscape" w:code="1"/>
          <w:pgMar w:top="1701" w:right="748" w:bottom="1134" w:left="1559" w:header="709" w:footer="612" w:gutter="0"/>
          <w:cols w:space="708"/>
          <w:docGrid w:linePitch="360"/>
        </w:sectPr>
      </w:pPr>
      <w:r w:rsidRPr="00CC51E2">
        <w:rPr>
          <w:rFonts w:ascii="Arial" w:hAnsi="Arial" w:cs="Arial"/>
          <w:b/>
          <w:sz w:val="20"/>
          <w:szCs w:val="20"/>
        </w:rPr>
        <w:t>Tabla No. 3</w:t>
      </w:r>
    </w:p>
    <w:p w:rsidR="00BE467D" w:rsidRPr="00CC51E2" w:rsidRDefault="00BE467D" w:rsidP="00BE467D">
      <w:pPr>
        <w:pStyle w:val="Prrafodelista"/>
        <w:ind w:left="1440"/>
        <w:rPr>
          <w:rFonts w:ascii="Arial" w:hAnsi="Arial" w:cs="Arial"/>
          <w:b/>
          <w:color w:val="1F497D" w:themeColor="text2"/>
          <w:sz w:val="20"/>
          <w:szCs w:val="20"/>
        </w:rPr>
      </w:pPr>
    </w:p>
    <w:p w:rsidR="00BE467D" w:rsidRPr="00CC51E2" w:rsidRDefault="00BE467D" w:rsidP="0057468E">
      <w:pPr>
        <w:pStyle w:val="Prrafodelista"/>
        <w:numPr>
          <w:ilvl w:val="0"/>
          <w:numId w:val="9"/>
        </w:numPr>
        <w:jc w:val="center"/>
        <w:rPr>
          <w:rFonts w:ascii="Arial" w:hAnsi="Arial" w:cs="Arial"/>
          <w:b/>
          <w:color w:val="1F497D" w:themeColor="text2"/>
          <w:sz w:val="20"/>
          <w:szCs w:val="20"/>
        </w:rPr>
      </w:pPr>
      <w:r w:rsidRPr="00CC51E2">
        <w:rPr>
          <w:rFonts w:ascii="Arial" w:hAnsi="Arial" w:cs="Arial"/>
          <w:b/>
          <w:color w:val="1F497D" w:themeColor="text2"/>
          <w:sz w:val="20"/>
          <w:szCs w:val="20"/>
        </w:rPr>
        <w:t>ACCIONES DE MEJORA.</w:t>
      </w:r>
    </w:p>
    <w:p w:rsidR="00CB49F5" w:rsidRPr="00CC51E2" w:rsidRDefault="00CB49F5" w:rsidP="0098324E">
      <w:pPr>
        <w:pStyle w:val="Prrafodelista"/>
        <w:ind w:left="1440"/>
        <w:jc w:val="both"/>
        <w:rPr>
          <w:rFonts w:ascii="Arial" w:hAnsi="Arial" w:cs="Arial"/>
          <w:b/>
          <w:color w:val="1F497D" w:themeColor="text2"/>
          <w:sz w:val="20"/>
          <w:szCs w:val="20"/>
        </w:rPr>
      </w:pPr>
    </w:p>
    <w:p w:rsidR="0070354E" w:rsidRPr="00CC51E2" w:rsidRDefault="00CB49F5" w:rsidP="0098324E">
      <w:pPr>
        <w:spacing w:line="312" w:lineRule="auto"/>
        <w:jc w:val="both"/>
        <w:rPr>
          <w:rFonts w:ascii="Arial" w:hAnsi="Arial" w:cs="Arial"/>
          <w:sz w:val="20"/>
          <w:szCs w:val="20"/>
        </w:rPr>
      </w:pPr>
      <w:r w:rsidRPr="00CC51E2">
        <w:rPr>
          <w:rFonts w:ascii="Arial" w:hAnsi="Arial" w:cs="Arial"/>
          <w:sz w:val="20"/>
          <w:szCs w:val="20"/>
        </w:rPr>
        <w:t>A través del equipo de trabajo</w:t>
      </w:r>
      <w:r w:rsidR="0070354E" w:rsidRPr="00CC51E2">
        <w:rPr>
          <w:rFonts w:ascii="Arial" w:hAnsi="Arial" w:cs="Arial"/>
          <w:sz w:val="20"/>
          <w:szCs w:val="20"/>
        </w:rPr>
        <w:t xml:space="preserve"> de la Subdirección Administrativa</w:t>
      </w:r>
      <w:r w:rsidRPr="00CC51E2">
        <w:rPr>
          <w:rFonts w:ascii="Arial" w:hAnsi="Arial" w:cs="Arial"/>
          <w:sz w:val="20"/>
          <w:szCs w:val="20"/>
        </w:rPr>
        <w:t xml:space="preserve"> se gestionaron las siguientes acciones de mejora durante el </w:t>
      </w:r>
      <w:r w:rsidR="00DC39EF" w:rsidRPr="00CC51E2">
        <w:rPr>
          <w:rFonts w:ascii="Arial" w:hAnsi="Arial" w:cs="Arial"/>
          <w:sz w:val="20"/>
          <w:szCs w:val="20"/>
        </w:rPr>
        <w:t>tercer tri</w:t>
      </w:r>
      <w:r w:rsidRPr="00CC51E2">
        <w:rPr>
          <w:rFonts w:ascii="Arial" w:hAnsi="Arial" w:cs="Arial"/>
          <w:sz w:val="20"/>
          <w:szCs w:val="20"/>
        </w:rPr>
        <w:t>mestre de 2017:</w:t>
      </w:r>
    </w:p>
    <w:p w:rsidR="00524D1D" w:rsidRPr="00CC51E2" w:rsidRDefault="00524D1D" w:rsidP="0098324E">
      <w:pPr>
        <w:spacing w:line="312" w:lineRule="auto"/>
        <w:jc w:val="both"/>
        <w:rPr>
          <w:rFonts w:ascii="Arial" w:hAnsi="Arial" w:cs="Arial"/>
          <w:sz w:val="20"/>
          <w:szCs w:val="20"/>
        </w:rPr>
      </w:pPr>
    </w:p>
    <w:p w:rsidR="00CB49F5"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Actualización del Proceso de Gestión del Talento Humano.</w:t>
      </w:r>
    </w:p>
    <w:p w:rsidR="0070354E" w:rsidRPr="00CC51E2" w:rsidRDefault="0070354E" w:rsidP="0098324E">
      <w:pPr>
        <w:pStyle w:val="Prrafodelista"/>
        <w:spacing w:line="312" w:lineRule="auto"/>
        <w:jc w:val="both"/>
        <w:rPr>
          <w:rFonts w:ascii="Arial" w:hAnsi="Arial" w:cs="Arial"/>
          <w:sz w:val="20"/>
          <w:szCs w:val="20"/>
        </w:rPr>
      </w:pPr>
    </w:p>
    <w:p w:rsidR="0070354E"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Creación del Proceso de Gestión Documental.</w:t>
      </w:r>
    </w:p>
    <w:p w:rsidR="001E11E2" w:rsidRPr="00CC51E2" w:rsidRDefault="001E11E2" w:rsidP="001E11E2">
      <w:pPr>
        <w:pStyle w:val="Prrafodelista"/>
        <w:rPr>
          <w:rFonts w:ascii="Arial" w:hAnsi="Arial" w:cs="Arial"/>
          <w:sz w:val="20"/>
          <w:szCs w:val="20"/>
        </w:rPr>
      </w:pPr>
    </w:p>
    <w:p w:rsidR="001E11E2" w:rsidRPr="00CC51E2" w:rsidRDefault="001E11E2"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Creación del Proceso de Gestión Administrativa.</w:t>
      </w:r>
    </w:p>
    <w:p w:rsidR="0070354E" w:rsidRPr="00CC51E2" w:rsidRDefault="0070354E" w:rsidP="0098324E">
      <w:pPr>
        <w:pStyle w:val="Prrafodelista"/>
        <w:jc w:val="both"/>
        <w:rPr>
          <w:rFonts w:ascii="Arial" w:hAnsi="Arial" w:cs="Arial"/>
          <w:sz w:val="20"/>
          <w:szCs w:val="20"/>
        </w:rPr>
      </w:pPr>
    </w:p>
    <w:p w:rsidR="0070354E"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 xml:space="preserve">Aclaración de los hallazgos </w:t>
      </w:r>
      <w:r w:rsidR="00524D1D" w:rsidRPr="00CC51E2">
        <w:rPr>
          <w:rFonts w:ascii="Arial" w:hAnsi="Arial" w:cs="Arial"/>
          <w:sz w:val="20"/>
          <w:szCs w:val="20"/>
        </w:rPr>
        <w:t xml:space="preserve">adjudicados </w:t>
      </w:r>
      <w:r w:rsidRPr="00CC51E2">
        <w:rPr>
          <w:rFonts w:ascii="Arial" w:hAnsi="Arial" w:cs="Arial"/>
          <w:sz w:val="20"/>
          <w:szCs w:val="20"/>
        </w:rPr>
        <w:t>a la dependencia y establecimiento de planes de mejoramiento concretos y acordes a la realidad.</w:t>
      </w:r>
    </w:p>
    <w:p w:rsidR="0070354E" w:rsidRPr="00CC51E2" w:rsidRDefault="0070354E" w:rsidP="0098324E">
      <w:pPr>
        <w:pStyle w:val="Prrafodelista"/>
        <w:jc w:val="both"/>
        <w:rPr>
          <w:rFonts w:ascii="Arial" w:hAnsi="Arial" w:cs="Arial"/>
          <w:sz w:val="20"/>
          <w:szCs w:val="20"/>
        </w:rPr>
      </w:pPr>
    </w:p>
    <w:p w:rsidR="0070354E" w:rsidRPr="00CC51E2" w:rsidRDefault="00436F9C"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Fortalecimiento de los archivos de gestión de la Entidad.</w:t>
      </w:r>
    </w:p>
    <w:p w:rsidR="00436F9C" w:rsidRPr="00CC51E2" w:rsidRDefault="00436F9C" w:rsidP="0098324E">
      <w:pPr>
        <w:pStyle w:val="Prrafodelista"/>
        <w:jc w:val="both"/>
        <w:rPr>
          <w:rFonts w:ascii="Arial" w:hAnsi="Arial" w:cs="Arial"/>
          <w:sz w:val="20"/>
          <w:szCs w:val="20"/>
        </w:rPr>
      </w:pPr>
    </w:p>
    <w:p w:rsidR="00436F9C" w:rsidRPr="00CC51E2" w:rsidRDefault="00FE674F"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Ejecución de las actividades de Bienestar Institucional.</w:t>
      </w:r>
    </w:p>
    <w:p w:rsidR="00FE674F" w:rsidRPr="00CC51E2" w:rsidRDefault="00FE674F" w:rsidP="0098324E">
      <w:pPr>
        <w:pStyle w:val="Prrafodelista"/>
        <w:jc w:val="both"/>
        <w:rPr>
          <w:rFonts w:ascii="Arial" w:hAnsi="Arial" w:cs="Arial"/>
          <w:sz w:val="20"/>
          <w:szCs w:val="20"/>
        </w:rPr>
      </w:pPr>
    </w:p>
    <w:p w:rsidR="00FE674F" w:rsidRPr="00CC51E2" w:rsidRDefault="00FE674F"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Gestión para el fortalecimiento del Plan de Capacitación.</w:t>
      </w:r>
    </w:p>
    <w:p w:rsidR="00FE6DE4" w:rsidRPr="00CC51E2" w:rsidRDefault="00FE6DE4" w:rsidP="0098324E">
      <w:pPr>
        <w:pStyle w:val="Prrafodelista"/>
        <w:jc w:val="both"/>
        <w:rPr>
          <w:rFonts w:ascii="Arial" w:hAnsi="Arial" w:cs="Arial"/>
          <w:sz w:val="20"/>
          <w:szCs w:val="20"/>
        </w:rPr>
      </w:pPr>
    </w:p>
    <w:p w:rsidR="0070354E" w:rsidRPr="00CC51E2" w:rsidRDefault="006F4D6C"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Gestión efectiva de las herramientas</w:t>
      </w:r>
      <w:r w:rsidR="001E11E2" w:rsidRPr="00CC51E2">
        <w:rPr>
          <w:rFonts w:ascii="Arial" w:hAnsi="Arial" w:cs="Arial"/>
          <w:sz w:val="20"/>
          <w:szCs w:val="20"/>
        </w:rPr>
        <w:t xml:space="preserve"> de</w:t>
      </w:r>
      <w:r w:rsidRPr="00CC51E2">
        <w:rPr>
          <w:rFonts w:ascii="Arial" w:hAnsi="Arial" w:cs="Arial"/>
          <w:sz w:val="20"/>
          <w:szCs w:val="20"/>
        </w:rPr>
        <w:t xml:space="preserve"> seguimiento y control.</w:t>
      </w:r>
    </w:p>
    <w:p w:rsidR="00CB49F5" w:rsidRPr="00CC51E2" w:rsidRDefault="00CB49F5" w:rsidP="0070354E">
      <w:pPr>
        <w:spacing w:line="312" w:lineRule="auto"/>
        <w:jc w:val="both"/>
        <w:rPr>
          <w:rFonts w:ascii="Arial" w:hAnsi="Arial" w:cs="Arial"/>
          <w:sz w:val="20"/>
          <w:szCs w:val="20"/>
        </w:rPr>
      </w:pPr>
    </w:p>
    <w:p w:rsidR="00CB49F5" w:rsidRPr="00CC51E2" w:rsidRDefault="00CB49F5" w:rsidP="0070354E">
      <w:pPr>
        <w:jc w:val="both"/>
        <w:rPr>
          <w:rFonts w:ascii="Arial" w:hAnsi="Arial" w:cs="Arial"/>
          <w:sz w:val="20"/>
          <w:szCs w:val="20"/>
        </w:rPr>
      </w:pPr>
    </w:p>
    <w:p w:rsidR="000E56E0" w:rsidRDefault="000E56E0">
      <w:pPr>
        <w:spacing w:after="0" w:line="240" w:lineRule="auto"/>
        <w:rPr>
          <w:rFonts w:ascii="Arial" w:hAnsi="Arial" w:cs="Arial"/>
          <w:sz w:val="20"/>
          <w:szCs w:val="20"/>
        </w:rPr>
      </w:pPr>
      <w:r>
        <w:rPr>
          <w:rFonts w:ascii="Arial" w:hAnsi="Arial" w:cs="Arial"/>
          <w:sz w:val="20"/>
          <w:szCs w:val="20"/>
        </w:rPr>
        <w:br w:type="page"/>
      </w:r>
    </w:p>
    <w:p w:rsidR="00DA4666" w:rsidRDefault="00DA4666" w:rsidP="00DA7929">
      <w:pPr>
        <w:spacing w:line="240" w:lineRule="auto"/>
        <w:jc w:val="center"/>
        <w:rPr>
          <w:rFonts w:ascii="Arial" w:hAnsi="Arial" w:cs="Arial"/>
          <w:b/>
          <w:sz w:val="20"/>
          <w:szCs w:val="20"/>
        </w:rPr>
      </w:pP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DA7929" w:rsidRPr="00CC51E2" w:rsidRDefault="00DA7929" w:rsidP="00DA7929">
      <w:pPr>
        <w:spacing w:after="0"/>
        <w:jc w:val="center"/>
        <w:rPr>
          <w:rFonts w:ascii="Arial" w:hAnsi="Arial" w:cs="Arial"/>
          <w:b/>
          <w:sz w:val="20"/>
          <w:szCs w:val="20"/>
        </w:rPr>
      </w:pPr>
      <w:r>
        <w:rPr>
          <w:rFonts w:ascii="Arial" w:hAnsi="Arial" w:cs="Arial"/>
          <w:b/>
          <w:sz w:val="20"/>
          <w:szCs w:val="20"/>
        </w:rPr>
        <w:t>SUBDIRECCIÓN FINANCIERA</w:t>
      </w:r>
    </w:p>
    <w:p w:rsidR="00DA7929" w:rsidRPr="00CC51E2" w:rsidRDefault="00DA7929" w:rsidP="00DA7929">
      <w:pPr>
        <w:spacing w:after="0"/>
        <w:jc w:val="both"/>
        <w:rPr>
          <w:rFonts w:ascii="Arial" w:hAnsi="Arial" w:cs="Arial"/>
          <w:b/>
          <w:sz w:val="20"/>
          <w:szCs w:val="20"/>
        </w:rPr>
      </w:pPr>
    </w:p>
    <w:p w:rsidR="00DA7929" w:rsidRPr="00CC51E2" w:rsidRDefault="00DA7929" w:rsidP="00DA7929">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DA7929" w:rsidRDefault="00DA7929" w:rsidP="000E56E0">
      <w:pPr>
        <w:rPr>
          <w:rFonts w:ascii="Arial" w:hAnsi="Arial" w:cs="Arial"/>
          <w:b/>
          <w:sz w:val="24"/>
          <w:szCs w:val="24"/>
        </w:rPr>
      </w:pPr>
    </w:p>
    <w:p w:rsidR="000E56E0" w:rsidRPr="00DA7929" w:rsidRDefault="000E56E0" w:rsidP="000E56E0">
      <w:pPr>
        <w:rPr>
          <w:rFonts w:ascii="Arial" w:hAnsi="Arial" w:cs="Arial"/>
          <w:b/>
          <w:sz w:val="20"/>
          <w:szCs w:val="24"/>
        </w:rPr>
      </w:pPr>
      <w:r w:rsidRPr="00DA7929">
        <w:rPr>
          <w:rFonts w:ascii="Arial" w:hAnsi="Arial" w:cs="Arial"/>
          <w:b/>
          <w:sz w:val="20"/>
          <w:szCs w:val="24"/>
        </w:rPr>
        <w:t>GESTIÓN FINANCIERA</w:t>
      </w:r>
    </w:p>
    <w:p w:rsidR="000E56E0" w:rsidRPr="00DA7929" w:rsidRDefault="000E56E0" w:rsidP="000E56E0">
      <w:pPr>
        <w:rPr>
          <w:rFonts w:ascii="Arial" w:hAnsi="Arial" w:cs="Arial"/>
          <w:sz w:val="20"/>
          <w:szCs w:val="24"/>
        </w:rPr>
      </w:pPr>
      <w:r w:rsidRPr="00DA7929">
        <w:rPr>
          <w:rFonts w:ascii="Arial" w:hAnsi="Arial" w:cs="Arial"/>
          <w:sz w:val="20"/>
          <w:szCs w:val="24"/>
        </w:rPr>
        <w:t xml:space="preserve"> Ejecución de presupuesto Rentas e Ingresos</w:t>
      </w:r>
    </w:p>
    <w:p w:rsidR="000E56E0" w:rsidRDefault="000E56E0" w:rsidP="000E56E0">
      <w:pPr>
        <w:rPr>
          <w:rFonts w:ascii="Arial" w:hAnsi="Arial" w:cs="Arial"/>
          <w:sz w:val="24"/>
          <w:szCs w:val="24"/>
        </w:rPr>
      </w:pPr>
      <w:r w:rsidRPr="00E72B1D">
        <w:rPr>
          <w:noProof/>
          <w:lang w:val="es-ES" w:eastAsia="es-ES"/>
        </w:rPr>
        <w:drawing>
          <wp:inline distT="0" distB="0" distL="0" distR="0" wp14:anchorId="63367425" wp14:editId="3B12A767">
            <wp:extent cx="6200294" cy="3667125"/>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15450" cy="3676089"/>
                    </a:xfrm>
                    <a:prstGeom prst="rect">
                      <a:avLst/>
                    </a:prstGeom>
                    <a:noFill/>
                    <a:ln>
                      <a:noFill/>
                    </a:ln>
                  </pic:spPr>
                </pic:pic>
              </a:graphicData>
            </a:graphic>
          </wp:inline>
        </w:drawing>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iCs/>
          <w:sz w:val="20"/>
          <w:szCs w:val="24"/>
          <w:lang w:eastAsia="x-none"/>
        </w:rPr>
      </w:pPr>
      <w:r w:rsidRPr="00DA7929">
        <w:rPr>
          <w:rFonts w:ascii="Arial" w:eastAsia="Times New Roman" w:hAnsi="Arial" w:cs="Arial"/>
          <w:sz w:val="20"/>
          <w:szCs w:val="24"/>
          <w:lang w:val="es-MX" w:eastAsia="es-ES"/>
        </w:rPr>
        <w:t xml:space="preserve">Para el 31 de octubre de 2017 </w:t>
      </w:r>
      <w:r w:rsidRPr="00DA7929">
        <w:rPr>
          <w:rFonts w:ascii="Arial" w:eastAsia="Times New Roman" w:hAnsi="Arial" w:cs="Arial"/>
          <w:sz w:val="20"/>
          <w:szCs w:val="24"/>
          <w:lang w:val="es-ES_tradnl" w:eastAsia="es-ES"/>
        </w:rPr>
        <w:t>l</w:t>
      </w:r>
      <w:r w:rsidRPr="00DA7929">
        <w:rPr>
          <w:rFonts w:ascii="Arial" w:eastAsia="Times New Roman" w:hAnsi="Arial" w:cs="Arial"/>
          <w:iCs/>
          <w:sz w:val="20"/>
          <w:szCs w:val="24"/>
          <w:lang w:eastAsia="x-none"/>
        </w:rPr>
        <w:t>a ejecución de ingresos acumulada alcanza la cifra de $ 47.155.717.146 que corresponde al 49,35% de la apropiación anual, con ejecución del 104,2% para los Ingresos Corrientes ($ 2.667.093.032), 101,2% para los Recursos de Capital ($ 7.637.484.797) y 43,13% para las transferencias recibidas de la Administración Central ($ 36.851.139.317). Para el 2017 se presenta un incremento del 53,9% en el recaudo de ingresos con respecto a la vigencia 2016.</w:t>
      </w:r>
    </w:p>
    <w:p w:rsidR="000E56E0" w:rsidRDefault="000E56E0" w:rsidP="000E56E0">
      <w:pPr>
        <w:rPr>
          <w:rFonts w:ascii="Arial" w:hAnsi="Arial" w:cs="Arial"/>
          <w:sz w:val="20"/>
          <w:szCs w:val="24"/>
        </w:rPr>
      </w:pPr>
    </w:p>
    <w:p w:rsidR="004412FC" w:rsidRPr="00DA7929" w:rsidRDefault="004412FC" w:rsidP="000E56E0">
      <w:pPr>
        <w:rPr>
          <w:rFonts w:ascii="Arial" w:hAnsi="Arial" w:cs="Arial"/>
          <w:sz w:val="20"/>
          <w:szCs w:val="24"/>
        </w:rPr>
      </w:pPr>
    </w:p>
    <w:p w:rsidR="000E56E0" w:rsidRPr="004412FC" w:rsidRDefault="000E56E0" w:rsidP="000E56E0">
      <w:pPr>
        <w:rPr>
          <w:rFonts w:ascii="Arial" w:hAnsi="Arial" w:cs="Arial"/>
          <w:b/>
          <w:sz w:val="20"/>
          <w:szCs w:val="20"/>
        </w:rPr>
      </w:pPr>
      <w:r w:rsidRPr="004412FC">
        <w:rPr>
          <w:rFonts w:ascii="Arial" w:hAnsi="Arial" w:cs="Arial"/>
          <w:b/>
          <w:sz w:val="20"/>
          <w:szCs w:val="20"/>
        </w:rPr>
        <w:lastRenderedPageBreak/>
        <w:t>Ejecución del Presupuesto de Gastos e Inversión.</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iCs/>
          <w:sz w:val="20"/>
          <w:szCs w:val="20"/>
          <w:lang w:eastAsia="x-none"/>
        </w:rPr>
      </w:pPr>
      <w:r w:rsidRPr="00DA7929">
        <w:rPr>
          <w:rFonts w:ascii="Arial" w:eastAsia="Times New Roman" w:hAnsi="Arial" w:cs="Arial"/>
          <w:sz w:val="20"/>
          <w:szCs w:val="20"/>
          <w:lang w:val="es-MX" w:eastAsia="es-ES"/>
        </w:rPr>
        <w:t xml:space="preserve">Para el 31 de octubre </w:t>
      </w:r>
      <w:r w:rsidRPr="00DA7929">
        <w:rPr>
          <w:rFonts w:ascii="Arial" w:eastAsia="Times New Roman" w:hAnsi="Arial" w:cs="Arial"/>
          <w:sz w:val="20"/>
          <w:szCs w:val="20"/>
          <w:lang w:val="es-ES_tradnl" w:eastAsia="es-ES"/>
        </w:rPr>
        <w:t>de la vigencia 2017, l</w:t>
      </w:r>
      <w:r w:rsidRPr="00DA7929">
        <w:rPr>
          <w:rFonts w:ascii="Arial" w:eastAsia="Times New Roman" w:hAnsi="Arial" w:cs="Arial"/>
          <w:iCs/>
          <w:sz w:val="20"/>
          <w:szCs w:val="20"/>
          <w:lang w:eastAsia="x-none"/>
        </w:rPr>
        <w:t>a ejecución del presupuesto de Gastos e Inversiones alcanza la cifra de $ 59.401.265.549 que corresponden a una ejecución del 62.17% de la apropiación vigente, y con una variación del 19.56% frente a la vigencia 2016.</w:t>
      </w:r>
    </w:p>
    <w:p w:rsidR="000E56E0" w:rsidRPr="00DA7929" w:rsidRDefault="000E56E0" w:rsidP="000E56E0">
      <w:pPr>
        <w:rPr>
          <w:rFonts w:ascii="Arial" w:hAnsi="Arial" w:cs="Arial"/>
          <w:sz w:val="20"/>
          <w:szCs w:val="20"/>
        </w:rPr>
      </w:pPr>
      <w:r w:rsidRPr="00DA7929">
        <w:rPr>
          <w:rFonts w:ascii="Arial" w:hAnsi="Arial" w:cs="Arial"/>
          <w:sz w:val="20"/>
          <w:szCs w:val="20"/>
        </w:rPr>
        <w:fldChar w:fldCharType="begin"/>
      </w:r>
      <w:r w:rsidRPr="00DA7929">
        <w:rPr>
          <w:rFonts w:ascii="Arial" w:hAnsi="Arial" w:cs="Arial"/>
          <w:sz w:val="20"/>
          <w:szCs w:val="20"/>
        </w:rPr>
        <w:instrText xml:space="preserve"> LINK Excel.Sheet.8 "C:\\Users\\DCARVAJAL\\Desktop\\Presupuesto 31 Octubre Rendicion cuentas.xls" "Ejecución 31 octu 2017!F3C1:F20C10" \a \f 4 \h </w:instrText>
      </w:r>
      <w:r w:rsidR="00DA7929" w:rsidRPr="00DA7929">
        <w:rPr>
          <w:rFonts w:ascii="Arial" w:hAnsi="Arial" w:cs="Arial"/>
          <w:sz w:val="20"/>
          <w:szCs w:val="20"/>
        </w:rPr>
        <w:instrText xml:space="preserve"> \* MERGEFORMAT </w:instrText>
      </w:r>
      <w:r w:rsidRPr="00DA7929">
        <w:rPr>
          <w:rFonts w:ascii="Arial" w:hAnsi="Arial" w:cs="Arial"/>
          <w:sz w:val="20"/>
          <w:szCs w:val="20"/>
        </w:rPr>
        <w:fldChar w:fldCharType="separate"/>
      </w:r>
    </w:p>
    <w:p w:rsidR="000E56E0" w:rsidRDefault="000E56E0" w:rsidP="000E56E0">
      <w:pPr>
        <w:rPr>
          <w:rFonts w:ascii="Arial" w:hAnsi="Arial" w:cs="Arial"/>
          <w:sz w:val="24"/>
          <w:szCs w:val="24"/>
        </w:rPr>
      </w:pPr>
      <w:r w:rsidRPr="00DA7929">
        <w:rPr>
          <w:rFonts w:ascii="Arial" w:hAnsi="Arial" w:cs="Arial"/>
          <w:sz w:val="20"/>
          <w:szCs w:val="20"/>
        </w:rPr>
        <w:fldChar w:fldCharType="end"/>
      </w:r>
      <w:r w:rsidRPr="00820783">
        <w:rPr>
          <w:rFonts w:ascii="Arial" w:hAnsi="Arial" w:cs="Arial"/>
          <w:sz w:val="24"/>
          <w:szCs w:val="24"/>
        </w:rPr>
        <w:t xml:space="preserve"> </w:t>
      </w:r>
      <w:r w:rsidRPr="00820783">
        <w:rPr>
          <w:noProof/>
          <w:lang w:val="es-ES" w:eastAsia="es-ES"/>
        </w:rPr>
        <w:drawing>
          <wp:inline distT="0" distB="0" distL="0" distR="0" wp14:anchorId="55ACECD7" wp14:editId="6606C673">
            <wp:extent cx="6232594" cy="4491322"/>
            <wp:effectExtent l="0" t="0" r="0" b="508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41152" cy="4497489"/>
                    </a:xfrm>
                    <a:prstGeom prst="rect">
                      <a:avLst/>
                    </a:prstGeom>
                    <a:noFill/>
                    <a:ln>
                      <a:noFill/>
                    </a:ln>
                  </pic:spPr>
                </pic:pic>
              </a:graphicData>
            </a:graphic>
          </wp:inline>
        </w:drawing>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sz w:val="20"/>
          <w:szCs w:val="24"/>
          <w:lang w:val="es-ES_tradnl" w:eastAsia="es-ES"/>
        </w:rPr>
      </w:pPr>
      <w:r w:rsidRPr="00DA7929">
        <w:rPr>
          <w:rFonts w:ascii="Arial" w:eastAsia="Times New Roman" w:hAnsi="Arial" w:cs="Arial"/>
          <w:sz w:val="20"/>
          <w:szCs w:val="24"/>
          <w:lang w:val="es-ES_tradnl" w:eastAsia="es-ES"/>
        </w:rPr>
        <w:t>La apropiación vigente para gastos de inversión es de $85.271.2 millones, con un porcentaje de participación del 89,2%, de los cuales a octubre presenta una ejecución de 60.07%</w:t>
      </w:r>
    </w:p>
    <w:p w:rsidR="000E56E0" w:rsidRPr="00DA7929" w:rsidRDefault="000E56E0" w:rsidP="000E56E0">
      <w:pPr>
        <w:autoSpaceDE w:val="0"/>
        <w:autoSpaceDN w:val="0"/>
        <w:adjustRightInd w:val="0"/>
        <w:spacing w:after="0" w:line="240" w:lineRule="auto"/>
        <w:jc w:val="both"/>
        <w:rPr>
          <w:rFonts w:ascii="Arial" w:eastAsia="Times New Roman" w:hAnsi="Arial" w:cs="Arial"/>
          <w:sz w:val="20"/>
          <w:szCs w:val="24"/>
          <w:lang w:val="es-ES_tradnl" w:eastAsia="es-ES"/>
        </w:rPr>
      </w:pPr>
    </w:p>
    <w:p w:rsidR="000E56E0" w:rsidRPr="00DA7929" w:rsidRDefault="000E56E0" w:rsidP="000E56E0">
      <w:pPr>
        <w:autoSpaceDE w:val="0"/>
        <w:autoSpaceDN w:val="0"/>
        <w:adjustRightInd w:val="0"/>
        <w:spacing w:after="0" w:line="240" w:lineRule="auto"/>
        <w:jc w:val="both"/>
        <w:rPr>
          <w:rFonts w:ascii="Arial" w:hAnsi="Arial" w:cs="Arial"/>
          <w:sz w:val="20"/>
          <w:szCs w:val="24"/>
          <w:lang w:eastAsia="es-CO"/>
        </w:rPr>
      </w:pPr>
      <w:r w:rsidRPr="00DA7929">
        <w:rPr>
          <w:rFonts w:ascii="Arial" w:eastAsia="Times New Roman" w:hAnsi="Arial" w:cs="Arial"/>
          <w:sz w:val="20"/>
          <w:szCs w:val="24"/>
          <w:lang w:val="es-ES_tradnl" w:eastAsia="es-ES"/>
        </w:rPr>
        <w:t xml:space="preserve">El programa de más complejidad y mayor cantidad de recursos que maneja la Entidad es Reasentamiento de hogares localizados en zonas de alto riesgo no mitigable con una apropiación vigente de $42.332.2 millones y una ejecución presupuestal de $27.761.6 millones, equivalentes al 65.6%. Los conceptos de gasto más representativos de este programa son: VUR para reasentamientos de Hogares Localizados en zonas de alto riesgo no mitigable, Relocalización de hogares localizados en zonas de alto riesgo no mitigable y </w:t>
      </w:r>
      <w:r w:rsidRPr="00DA7929">
        <w:rPr>
          <w:rFonts w:ascii="Arial" w:hAnsi="Arial" w:cs="Arial"/>
          <w:sz w:val="20"/>
          <w:szCs w:val="24"/>
          <w:lang w:eastAsia="es-CO"/>
        </w:rPr>
        <w:t>contratación de personal para apoyar las actividades propias del proyecto.</w:t>
      </w:r>
      <w:r w:rsidRPr="00DA7929">
        <w:rPr>
          <w:rFonts w:ascii="Arial" w:eastAsia="Times New Roman" w:hAnsi="Arial" w:cs="Arial"/>
          <w:sz w:val="20"/>
          <w:szCs w:val="24"/>
          <w:lang w:val="es-ES_tradnl" w:eastAsia="es-ES"/>
        </w:rPr>
        <w:t xml:space="preserve"> </w:t>
      </w:r>
    </w:p>
    <w:p w:rsidR="000E56E0" w:rsidRPr="00B4052A" w:rsidRDefault="000E56E0" w:rsidP="000E56E0">
      <w:pPr>
        <w:overflowPunct w:val="0"/>
        <w:autoSpaceDE w:val="0"/>
        <w:autoSpaceDN w:val="0"/>
        <w:adjustRightInd w:val="0"/>
        <w:spacing w:after="0" w:line="240" w:lineRule="auto"/>
        <w:jc w:val="both"/>
        <w:textAlignment w:val="baseline"/>
        <w:rPr>
          <w:rFonts w:ascii="Arial" w:eastAsia="Times New Roman" w:hAnsi="Arial" w:cs="Arial"/>
          <w:sz w:val="24"/>
          <w:szCs w:val="24"/>
          <w:lang w:val="es-ES_tradnl" w:eastAsia="es-ES"/>
        </w:rPr>
      </w:pPr>
      <w:r w:rsidRPr="00B4052A">
        <w:rPr>
          <w:rFonts w:ascii="Arial" w:eastAsia="Times New Roman" w:hAnsi="Arial" w:cs="Arial"/>
          <w:sz w:val="24"/>
          <w:szCs w:val="24"/>
          <w:lang w:val="es-ES_tradnl" w:eastAsia="es-ES"/>
        </w:rPr>
        <w:t xml:space="preserve">                    </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r w:rsidRPr="00DA7929">
        <w:rPr>
          <w:rFonts w:ascii="Arial" w:eastAsia="KozGoPr6N-Light" w:hAnsi="Arial" w:cs="Arial"/>
          <w:sz w:val="20"/>
          <w:szCs w:val="24"/>
          <w:lang w:val="es-ES_tradnl" w:eastAsia="es-ES"/>
        </w:rPr>
        <w:lastRenderedPageBreak/>
        <w:t xml:space="preserve">El programa de Mejoramiento de </w:t>
      </w:r>
      <w:r w:rsidR="00DA7929" w:rsidRPr="00DA7929">
        <w:rPr>
          <w:rFonts w:ascii="Arial" w:eastAsia="KozGoPr6N-Light" w:hAnsi="Arial" w:cs="Arial"/>
          <w:sz w:val="20"/>
          <w:szCs w:val="24"/>
          <w:lang w:val="es-ES_tradnl" w:eastAsia="es-ES"/>
        </w:rPr>
        <w:t>B</w:t>
      </w:r>
      <w:r w:rsidRPr="00DA7929">
        <w:rPr>
          <w:rFonts w:ascii="Arial" w:eastAsia="KozGoPr6N-Light" w:hAnsi="Arial" w:cs="Arial"/>
          <w:sz w:val="20"/>
          <w:szCs w:val="24"/>
          <w:lang w:val="es-ES_tradnl" w:eastAsia="es-ES"/>
        </w:rPr>
        <w:t xml:space="preserve">arrios presenta ejecución del 34,6% (4.331,6 millones), Titulación de predios y gestión de urbanizaciones con ejecución del 82,0% (5.193,6 millones) y Mejoramiento de vivienda en sus condiciones físicas con una ejecución del 81,7% (3.720,0 millones). </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r w:rsidRPr="00DA7929">
        <w:rPr>
          <w:rFonts w:ascii="Arial" w:eastAsia="KozGoPr6N-Light" w:hAnsi="Arial" w:cs="Arial"/>
          <w:sz w:val="20"/>
          <w:szCs w:val="24"/>
          <w:lang w:val="es-ES_tradnl" w:eastAsia="es-ES"/>
        </w:rPr>
        <w:t xml:space="preserve">Para los proyectos de Fortalecimiento Institucional orientados al mejoramiento de la eficiencia de la gestión de la entidad se ejecutaron $8.471,5 millones, discriminados de la siguiente manera: Fortalecimiento institucional para la transparencia, participación ciudadana, control y responsabilidad social y anticorrupción con una ejecución del 95,1% (484,9 millones), fortalecimiento institucional para aumentar la eficiencia de la gestión  con una ejecución del 76,5% (5.575,7 millones) y fortalecimiento de las tecnologías de información y la comunicación con una ejecución del 81,1% (2.410,9 millones). </w:t>
      </w:r>
    </w:p>
    <w:p w:rsidR="000E56E0" w:rsidRPr="00DA7929" w:rsidRDefault="000E56E0" w:rsidP="000E56E0">
      <w:pPr>
        <w:rPr>
          <w:rFonts w:ascii="Arial" w:hAnsi="Arial" w:cs="Arial"/>
          <w:sz w:val="20"/>
          <w:szCs w:val="24"/>
          <w:lang w:val="es-ES_tradnl"/>
        </w:rPr>
      </w:pPr>
    </w:p>
    <w:p w:rsidR="000E56E0" w:rsidRPr="00DA7929" w:rsidRDefault="000E56E0" w:rsidP="000E56E0">
      <w:pPr>
        <w:rPr>
          <w:rFonts w:ascii="Arial" w:hAnsi="Arial" w:cs="Arial"/>
          <w:sz w:val="20"/>
          <w:szCs w:val="24"/>
        </w:rPr>
      </w:pPr>
    </w:p>
    <w:p w:rsidR="000E56E0" w:rsidRDefault="000E56E0" w:rsidP="000E56E0">
      <w:pPr>
        <w:rPr>
          <w:rFonts w:ascii="Arial" w:hAnsi="Arial" w:cs="Arial"/>
          <w:sz w:val="24"/>
          <w:szCs w:val="24"/>
        </w:rPr>
      </w:pPr>
    </w:p>
    <w:p w:rsidR="000E56E0" w:rsidRPr="00463A32" w:rsidRDefault="000E56E0" w:rsidP="000E56E0">
      <w:pPr>
        <w:rPr>
          <w:rFonts w:ascii="Arial" w:hAnsi="Arial" w:cs="Arial"/>
          <w:sz w:val="24"/>
          <w:szCs w:val="24"/>
        </w:rPr>
      </w:pPr>
    </w:p>
    <w:p w:rsidR="000E56E0" w:rsidRDefault="000E56E0" w:rsidP="000E56E0"/>
    <w:p w:rsidR="006D08AA" w:rsidRPr="00CC51E2" w:rsidRDefault="006D08AA" w:rsidP="004A702D">
      <w:pPr>
        <w:spacing w:after="0" w:line="240" w:lineRule="auto"/>
        <w:rPr>
          <w:rFonts w:ascii="Arial" w:hAnsi="Arial" w:cs="Arial"/>
          <w:sz w:val="20"/>
          <w:szCs w:val="20"/>
        </w:rPr>
      </w:pPr>
    </w:p>
    <w:sectPr w:rsidR="006D08AA" w:rsidRPr="00CC51E2" w:rsidSect="0032327F">
      <w:pgSz w:w="12240" w:h="15840" w:code="1"/>
      <w:pgMar w:top="748" w:right="1134" w:bottom="1559" w:left="1701" w:header="709" w:footer="6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635E" w:rsidRDefault="006E635E" w:rsidP="000C58E8">
      <w:pPr>
        <w:spacing w:after="0" w:line="240" w:lineRule="auto"/>
      </w:pPr>
      <w:r>
        <w:separator/>
      </w:r>
    </w:p>
  </w:endnote>
  <w:endnote w:type="continuationSeparator" w:id="0">
    <w:p w:rsidR="006E635E" w:rsidRDefault="006E635E" w:rsidP="000C5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angal">
    <w:altName w:val="Cambria"/>
    <w:panose1 w:val="00000400000000000000"/>
    <w:charset w:val="01"/>
    <w:family w:val="roman"/>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KozGoPr6N-Ligh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635E" w:rsidRDefault="006E635E" w:rsidP="00315613">
    <w:pPr>
      <w:pStyle w:val="Piedepgina"/>
    </w:pPr>
    <w:r>
      <w:rPr>
        <w:noProof/>
        <w:lang w:val="es-ES" w:eastAsia="es-ES"/>
      </w:rPr>
      <w:drawing>
        <wp:inline distT="0" distB="0" distL="0" distR="0">
          <wp:extent cx="5972175" cy="1048384"/>
          <wp:effectExtent l="0" t="0" r="0" b="0"/>
          <wp:docPr id="507" name="Imagen 507" descr="C:\Users\cmgarcia\AppData\Local\Microsoft\Windows\INetCache\Content.Word\PLANT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mgarcia\AppData\Local\Microsoft\Windows\INetCache\Content.Word\PLANTILL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175" cy="1048384"/>
                  </a:xfrm>
                  <a:prstGeom prst="rect">
                    <a:avLst/>
                  </a:prstGeom>
                  <a:noFill/>
                  <a:ln>
                    <a:noFill/>
                  </a:ln>
                </pic:spPr>
              </pic:pic>
            </a:graphicData>
          </a:graphic>
        </wp:inline>
      </w:drawing>
    </w:r>
  </w:p>
  <w:p w:rsidR="006E635E" w:rsidRDefault="006E635E" w:rsidP="00315613">
    <w:pPr>
      <w:pStyle w:val="Piedepgina"/>
      <w:tabs>
        <w:tab w:val="left" w:pos="5130"/>
      </w:tabs>
      <w:ind w:left="-1757"/>
    </w:pPr>
    <w:r>
      <w:rPr>
        <w:noProof/>
        <w:lang w:val="es-ES" w:eastAsia="es-ES"/>
      </w:rPr>
      <mc:AlternateContent>
        <mc:Choice Requires="wps">
          <w:drawing>
            <wp:anchor distT="0" distB="0" distL="114300" distR="114300" simplePos="0" relativeHeight="251662336" behindDoc="0" locked="0" layoutInCell="1" allowOverlap="1" wp14:anchorId="3B67550C" wp14:editId="063672D2">
              <wp:simplePos x="0" y="0"/>
              <wp:positionH relativeFrom="column">
                <wp:posOffset>-384810</wp:posOffset>
              </wp:positionH>
              <wp:positionV relativeFrom="paragraph">
                <wp:posOffset>-2282190</wp:posOffset>
              </wp:positionV>
              <wp:extent cx="933450" cy="390525"/>
              <wp:effectExtent l="0" t="0" r="19050" b="28575"/>
              <wp:wrapNone/>
              <wp:docPr id="41" name="2 Rectángulo"/>
              <wp:cNvGraphicFramePr/>
              <a:graphic xmlns:a="http://schemas.openxmlformats.org/drawingml/2006/main">
                <a:graphicData uri="http://schemas.microsoft.com/office/word/2010/wordprocessingShape">
                  <wps:wsp>
                    <wps:cNvSpPr/>
                    <wps:spPr>
                      <a:xfrm>
                        <a:off x="0" y="0"/>
                        <a:ext cx="933450" cy="3905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6E635E" w:rsidRPr="00F70E87" w:rsidRDefault="006E635E" w:rsidP="00315613">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7550C" id="2 Rectángulo" o:spid="_x0000_s1030" style="position:absolute;left:0;text-align:left;margin-left:-30.3pt;margin-top:-179.7pt;width:73.5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iS6igIAAJIFAAAOAAAAZHJzL2Uyb0RvYy54bWysVM1OGzEQvlfqO1i+l80vLREbFIGoKiFA&#10;QMXZ8dqJVdvj2k5207fps/TFOvZuNkBzQr14PTu/3+eZOb9ojCZb4YMCW9LhyYASYTlUyq5K+v3p&#10;+tMXSkJktmIarCjpTgR6Mf/44bx2MzGCNehKeIJBbJjVrqTrGN2sKAJfC8PCCThhUSnBGxZR9Kui&#10;8qzG6EYXo8HgtKjBV84DFyHg36tWSec5vpSCxzspg4hElxRri/n0+Vyms5ifs9nKM7dWvCuDvaMK&#10;w5TFpH2oKxYZ2Xj1TyijuIcAMp5wMAVIqbjIGBDNcPAGzeOaOZGxIDnB9TSF/xeW327vPVFVSSdD&#10;Siwz+EYj8oC8/fltVxsNiaHahRkaPrp730kBrwluI71JXwRCmszqrmdVNJFw/Hk2Hk+myD1H1fhs&#10;MB1NU8zi4Ox8iF8FGJIuJfWYPHPJtjchtqZ7k5QrgFbVtdI6C6lRxKX2ZMvwiZerYRf8lZW273LE&#10;GpNnkfC3iPMt7rRI8bR9EBK5Q4yjXHDu2kMxjHNh42lXULZObhJL7x2Hxxx13KPobJObyN3cOw6O&#10;Ob7O2HvkrGBj72yUBX8sQPWjz9za79G3mBP82CybrguWUO2wezy0YxUcv1b4hDcsxHvmcY7w1XE3&#10;xDs8pIa6pNDdKFmD/3Xsf7LH9kYtJTXOZUnDzw3zghL9zWLjnw0nkzTIWZhMP49Q8C81y5cauzGX&#10;gH2BvY3V5Wuyj3p/lR7MM66QRcqKKmY55i4pj34vXMZ2X+AS4mKxyGY4vI7FG/voeAqeCE4t+tQ8&#10;M++6Po44ALewn2E2e9POrW3ytLDYRJAq93qiuOW1ox4HP09Lt6TSZnkpZ6vDKp3/BQAA//8DAFBL&#10;AwQUAAYACAAAACEAguDJZOAAAAAMAQAADwAAAGRycy9kb3ducmV2LnhtbEyPzU7DMBCE70i8g7VI&#10;XFDrtNAQhzgVQuIKonDh5ibbOCJeR7abBp6e5URP+zea+bbazm4QE4bYe9KwWmYgkBrf9tRp+Hh/&#10;XhQgYjLUmsETavjGCNv68qIyZetP9IbTLnWCTSiWRoNNaSyljI1FZ+LSj0h8O/jgTOIxdLIN5sTm&#10;bpDrLMulMz1xgjUjPllsvnZHp0H9NK+p8OPGpv5TdW71cgjTjdbXV/PjA4iEc/oXwx8+o0PNTHt/&#10;pDaKQcMiz3KWcnO7UXcgWFLkXPe8Wat7BbKu5PkT9S8AAAD//wMAUEsBAi0AFAAGAAgAAAAhALaD&#10;OJL+AAAA4QEAABMAAAAAAAAAAAAAAAAAAAAAAFtDb250ZW50X1R5cGVzXS54bWxQSwECLQAUAAYA&#10;CAAAACEAOP0h/9YAAACUAQAACwAAAAAAAAAAAAAAAAAvAQAAX3JlbHMvLnJlbHNQSwECLQAUAAYA&#10;CAAAACEAXjokuooCAACSBQAADgAAAAAAAAAAAAAAAAAuAgAAZHJzL2Uyb0RvYy54bWxQSwECLQAU&#10;AAYACAAAACEAguDJZOAAAAAMAQAADwAAAAAAAAAAAAAAAADkBAAAZHJzL2Rvd25yZXYueG1sUEsF&#10;BgAAAAAEAAQA8wAAAPEFAAAAAA==&#10;" fillcolor="white [3212]" strokecolor="white [3212]" strokeweight="2pt">
              <v:textbox>
                <w:txbxContent>
                  <w:p w:rsidR="006E635E" w:rsidRPr="00F70E87" w:rsidRDefault="006E635E" w:rsidP="00315613">
                    <w:pPr>
                      <w:shd w:val="clear" w:color="auto" w:fill="FFFFFF" w:themeFill="background1"/>
                      <w:spacing w:after="0" w:line="240" w:lineRule="auto"/>
                      <w:rPr>
                        <w:sz w:val="4"/>
                      </w:rPr>
                    </w:pPr>
                  </w:p>
                </w:txbxContent>
              </v:textbox>
            </v:rect>
          </w:pict>
        </mc:Fallback>
      </mc:AlternateContent>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635E" w:rsidRDefault="006E635E" w:rsidP="00315613">
    <w:pPr>
      <w:pStyle w:val="Piedepgina"/>
    </w:pPr>
    <w:r>
      <w:rPr>
        <w:noProof/>
        <w:lang w:val="es-ES" w:eastAsia="es-ES"/>
      </w:rPr>
      <w:drawing>
        <wp:anchor distT="0" distB="0" distL="114300" distR="114300" simplePos="0" relativeHeight="251661312" behindDoc="1" locked="0" layoutInCell="1" allowOverlap="1" wp14:anchorId="60D18084" wp14:editId="603C3FD6">
          <wp:simplePos x="0" y="0"/>
          <wp:positionH relativeFrom="margin">
            <wp:posOffset>-422910</wp:posOffset>
          </wp:positionH>
          <wp:positionV relativeFrom="paragraph">
            <wp:posOffset>-670560</wp:posOffset>
          </wp:positionV>
          <wp:extent cx="6169025" cy="1127090"/>
          <wp:effectExtent l="0" t="0" r="3175" b="0"/>
          <wp:wrapNone/>
          <wp:docPr id="484" name="Imagen 484"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69025" cy="1127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0288" behindDoc="1" locked="0" layoutInCell="1" allowOverlap="1" wp14:anchorId="0269E690" wp14:editId="33BED26B">
          <wp:simplePos x="0" y="0"/>
          <wp:positionH relativeFrom="column">
            <wp:posOffset>904875</wp:posOffset>
          </wp:positionH>
          <wp:positionV relativeFrom="paragraph">
            <wp:posOffset>9481185</wp:posOffset>
          </wp:positionV>
          <wp:extent cx="5747385" cy="1188085"/>
          <wp:effectExtent l="0" t="0" r="5715" b="0"/>
          <wp:wrapNone/>
          <wp:docPr id="485" name="Imagen 485"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738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9264" behindDoc="1" locked="0" layoutInCell="1" allowOverlap="1" wp14:anchorId="3A9B1DE1" wp14:editId="6BD60465">
          <wp:simplePos x="0" y="0"/>
          <wp:positionH relativeFrom="column">
            <wp:posOffset>904875</wp:posOffset>
          </wp:positionH>
          <wp:positionV relativeFrom="paragraph">
            <wp:posOffset>9481185</wp:posOffset>
          </wp:positionV>
          <wp:extent cx="5747385" cy="1188085"/>
          <wp:effectExtent l="0" t="0" r="5715" b="0"/>
          <wp:wrapNone/>
          <wp:docPr id="486" name="Imagen 486"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738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0204882"/>
      <w:docPartObj>
        <w:docPartGallery w:val="Page Numbers (Bottom of Page)"/>
        <w:docPartUnique/>
      </w:docPartObj>
    </w:sdtPr>
    <w:sdtEndPr/>
    <w:sdtContent>
      <w:p w:rsidR="006E635E" w:rsidRDefault="006E635E">
        <w:pPr>
          <w:pStyle w:val="Piedepgina"/>
        </w:pPr>
        <w:r>
          <w:rPr>
            <w:rFonts w:asciiTheme="majorHAnsi" w:eastAsiaTheme="majorEastAsia" w:hAnsiTheme="majorHAnsi" w:cstheme="majorBidi"/>
            <w:noProof/>
            <w:sz w:val="28"/>
            <w:szCs w:val="28"/>
            <w:lang w:val="es-ES" w:eastAsia="es-ES"/>
          </w:rPr>
          <mc:AlternateContent>
            <mc:Choice Requires="wps">
              <w:drawing>
                <wp:anchor distT="0" distB="0" distL="114300" distR="114300" simplePos="0" relativeHeight="251664384" behindDoc="0" locked="0" layoutInCell="1" allowOverlap="1" wp14:anchorId="049D3F1B" wp14:editId="1F8A91E1">
                  <wp:simplePos x="0" y="0"/>
                  <wp:positionH relativeFrom="margin">
                    <wp:align>center</wp:align>
                  </wp:positionH>
                  <wp:positionV relativeFrom="bottomMargin">
                    <wp:align>center</wp:align>
                  </wp:positionV>
                  <wp:extent cx="1282700" cy="343535"/>
                  <wp:effectExtent l="38100" t="19050" r="31750" b="0"/>
                  <wp:wrapNone/>
                  <wp:docPr id="81" name="Cinta: curvada e inclinada hacia abajo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6E635E" w:rsidRDefault="006E635E">
                              <w:pPr>
                                <w:jc w:val="center"/>
                                <w:rPr>
                                  <w:color w:val="4F81BD" w:themeColor="accent1"/>
                                </w:rPr>
                              </w:pPr>
                              <w:r>
                                <w:fldChar w:fldCharType="begin"/>
                              </w:r>
                              <w:r>
                                <w:instrText>PAGE    \* MERGEFORMAT</w:instrText>
                              </w:r>
                              <w:r>
                                <w:fldChar w:fldCharType="separate"/>
                              </w:r>
                              <w:r w:rsidR="001E7FD9" w:rsidRPr="001E7FD9">
                                <w:rPr>
                                  <w:noProof/>
                                  <w:color w:val="4F81BD" w:themeColor="accent1"/>
                                  <w:lang w:val="es-ES"/>
                                </w:rPr>
                                <w:t>146</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D3F1B"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81" o:spid="_x0000_s1031" type="#_x0000_t107" style="position:absolute;margin-left:0;margin-top:0;width:101pt;height:27.05pt;z-index:25166438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3lrwQIAAJ0FAAAOAAAAZHJzL2Uyb0RvYy54bWysVNuO0zAQfUfiHyy/d3Np0ku06apKWoS0&#10;wIqFD3ASp/Hi2MF2my6If2fspKVleUCIF8cTj8+cmTme27tjy9GBKs2kSHFw42NERSkrJnYp/vxp&#10;O1lgpA0RFeFS0BQ/U43vVq9f3fZdQkPZSF5RhQBE6KTvUtwY0yWep8uGtkTfyI4KOKylaokBU+28&#10;SpEe0Fvuhb4/83qpqk7JkmoNf/PhEK8cfl3T0nyoa00N4ikGbsatyq2FXb3VLUl2inQNK0ca5B9Y&#10;tIQJCHqGyokhaK/YC6iWlUpqWZubUraerGtWUpcDZBP4v2Xz2JCOulygOLo7l0n/P9jy/eFBIVal&#10;eBFgJEgLPcqYMCRB5V4dSEUQRUyUnAm7b0jJCCIFeZIILkD1+k4nAPLYPSibv+7uZflFIyGzhogd&#10;XSsl+4aSCjg7f+/qgjU0XEVF/05WEJvsjXSFPNaqtYBQInR0/Xo+94seDSrhZxAuwrkPbS3hbBpN&#10;42lsKXkkOd3ulDZvqGyR3aSYcs46TT+yopBDv8jhXhvXuGrMnlRPUIm65aCDA+EojH0IMejkwie8&#10;9LEuf/CZXvoEFmikN0YFoieCloKQW8a5i8QF6lO8jMPYFUNLzip76EqsdkXGFQJyKZ4Haz/PRtgr&#10;NyX3onJgtvybcW8I48MegnNh8aCaYw1sXZ1ovy/95WaxWUSTKJxtJpGf55P1Nosms20wj/NpnmV5&#10;8MNSC6KkYVVFhWV3ekBB9HcCHZ/yIP3zE7rKQl8mG8ynszh/max3TcMpAHI5fV12TndWaoNkzbE4&#10;OtmfRVzI6hmEqOQwI2CmwaaR6htGPcyHFOuve6IoRvytADEvgyiyA8UZUTwPwVCXJ8XlCRElQKXY&#10;YDRsMzMMoX2n2K6BSIFrtJBreAA1M1bG9nEMrEYDZoDLaZxXdshc2s7r11Rd/QQAAP//AwBQSwME&#10;FAAGAAgAAAAhAOexYEvXAAAABAEAAA8AAABkcnMvZG93bnJldi54bWxMj0FLw0AQhe+C/2EZwZvd&#10;NLalpNmUIuTizSiep9kxSc3Ohuymif/e0YteHjze8N43+XFxvbrSGDrPBtarBBRx7W3HjYG31/Jh&#10;DypEZIu9ZzLwRQGOxe1Njpn1M7/QtYqNkhIOGRpoYxwyrUPdksOw8gOxZB9+dBjFjo22I85S7nqd&#10;JslOO+xYFloc6Kml+rOanIFKl8wbvQ/T++Nueyn983zyaMz93XI6gIq0xL9j+MEXdCiE6ewntkH1&#10;BuSR+KuSpUkq9mxgu1mDLnL9H774BgAA//8DAFBLAQItABQABgAIAAAAIQC2gziS/gAAAOEBAAAT&#10;AAAAAAAAAAAAAAAAAAAAAABbQ29udGVudF9UeXBlc10ueG1sUEsBAi0AFAAGAAgAAAAhADj9If/W&#10;AAAAlAEAAAsAAAAAAAAAAAAAAAAALwEAAF9yZWxzLy5yZWxzUEsBAi0AFAAGAAgAAAAhAIAzeWvB&#10;AgAAnQUAAA4AAAAAAAAAAAAAAAAALgIAAGRycy9lMm9Eb2MueG1sUEsBAi0AFAAGAAgAAAAhAOex&#10;YEvXAAAABAEAAA8AAAAAAAAAAAAAAAAAGwUAAGRycy9kb3ducmV2LnhtbFBLBQYAAAAABAAEAPMA&#10;AAAfBgAAAAA=&#10;" filled="f" fillcolor="#17365d" strokecolor="#71a0dc">
                  <v:textbox>
                    <w:txbxContent>
                      <w:p w:rsidR="006E635E" w:rsidRDefault="006E635E">
                        <w:pPr>
                          <w:jc w:val="center"/>
                          <w:rPr>
                            <w:color w:val="4F81BD" w:themeColor="accent1"/>
                          </w:rPr>
                        </w:pPr>
                        <w:r>
                          <w:fldChar w:fldCharType="begin"/>
                        </w:r>
                        <w:r>
                          <w:instrText>PAGE    \* MERGEFORMAT</w:instrText>
                        </w:r>
                        <w:r>
                          <w:fldChar w:fldCharType="separate"/>
                        </w:r>
                        <w:r w:rsidR="001E7FD9" w:rsidRPr="001E7FD9">
                          <w:rPr>
                            <w:noProof/>
                            <w:color w:val="4F81BD" w:themeColor="accent1"/>
                            <w:lang w:val="es-ES"/>
                          </w:rPr>
                          <w:t>146</w:t>
                        </w:r>
                        <w:r>
                          <w:rPr>
                            <w:color w:val="4F81BD" w:themeColor="accent1"/>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635E" w:rsidRDefault="006E635E" w:rsidP="003B62CD">
    <w:pPr>
      <w:pStyle w:val="Piedepgina"/>
      <w:rPr>
        <w:rFonts w:ascii="Arial" w:hAnsi="Arial" w:cs="Arial"/>
        <w:sz w:val="14"/>
        <w:szCs w:val="14"/>
      </w:rPr>
    </w:pPr>
    <w:r>
      <w:rPr>
        <w:noProof/>
        <w:lang w:val="es-ES" w:eastAsia="es-ES"/>
      </w:rPr>
      <w:drawing>
        <wp:inline distT="0" distB="0" distL="0" distR="0" wp14:anchorId="3770DE23" wp14:editId="0006B3C5">
          <wp:extent cx="5972175" cy="80014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175" cy="800143"/>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635E" w:rsidRDefault="006E635E" w:rsidP="000C58E8">
      <w:pPr>
        <w:spacing w:after="0" w:line="240" w:lineRule="auto"/>
      </w:pPr>
      <w:r>
        <w:separator/>
      </w:r>
    </w:p>
  </w:footnote>
  <w:footnote w:type="continuationSeparator" w:id="0">
    <w:p w:rsidR="006E635E" w:rsidRDefault="006E635E" w:rsidP="000C58E8">
      <w:pPr>
        <w:spacing w:after="0" w:line="240" w:lineRule="auto"/>
      </w:pPr>
      <w:r>
        <w:continuationSeparator/>
      </w:r>
    </w:p>
  </w:footnote>
  <w:footnote w:id="1">
    <w:p w:rsidR="006E635E" w:rsidRPr="00472BE8" w:rsidRDefault="006E635E" w:rsidP="00B52A9F">
      <w:pPr>
        <w:pStyle w:val="Textonotapie"/>
        <w:rPr>
          <w:lang w:val="es-ES"/>
        </w:rPr>
      </w:pPr>
      <w:r w:rsidRPr="00472BE8">
        <w:rPr>
          <w:rStyle w:val="Refdenotaalpie"/>
        </w:rPr>
        <w:footnoteRef/>
      </w:r>
      <w:r w:rsidRPr="00472BE8">
        <w:t xml:space="preserve"> </w:t>
      </w:r>
      <w:r w:rsidRPr="00472BE8">
        <w:rPr>
          <w:lang w:val="es-ES"/>
        </w:rPr>
        <w:t>La información se reporta con base en el</w:t>
      </w:r>
      <w:r>
        <w:rPr>
          <w:lang w:val="es-ES"/>
        </w:rPr>
        <w:t xml:space="preserve"> </w:t>
      </w:r>
      <w:r>
        <w:t>Sistema de seguimiento al plan de desarrollo (SEGPLAN), con corte 31-12-2016.</w:t>
      </w:r>
    </w:p>
  </w:footnote>
  <w:footnote w:id="2">
    <w:p w:rsidR="006E635E" w:rsidRPr="0027627E" w:rsidRDefault="006E635E" w:rsidP="00B52A9F">
      <w:pPr>
        <w:pStyle w:val="Textonotapie"/>
        <w:rPr>
          <w:lang w:val="es-ES"/>
        </w:rPr>
      </w:pPr>
      <w:r w:rsidRPr="00403F2C">
        <w:rPr>
          <w:rStyle w:val="Refdenotaalpie"/>
        </w:rPr>
        <w:footnoteRef/>
      </w:r>
      <w:r>
        <w:t xml:space="preserve"> Sistema de seguimiento al plan de desarrollo (SEGPLAN).</w:t>
      </w:r>
    </w:p>
  </w:footnote>
  <w:footnote w:id="3">
    <w:p w:rsidR="006E635E" w:rsidRPr="0027627E" w:rsidRDefault="006E635E" w:rsidP="00B52A9F">
      <w:pPr>
        <w:pStyle w:val="Textonotapie"/>
        <w:rPr>
          <w:lang w:val="es-ES"/>
        </w:rPr>
      </w:pPr>
      <w:r w:rsidRPr="00403F2C">
        <w:rPr>
          <w:rStyle w:val="Refdenotaalpie"/>
        </w:rPr>
        <w:footnoteRef/>
      </w:r>
      <w:r>
        <w:t xml:space="preserve"> Sistema de seguimiento al plan de desarrollo (SEGPLAN).</w:t>
      </w:r>
    </w:p>
  </w:footnote>
  <w:footnote w:id="4">
    <w:p w:rsidR="006E635E" w:rsidRPr="0027627E" w:rsidRDefault="006E635E" w:rsidP="00B52A9F">
      <w:pPr>
        <w:pStyle w:val="Textonotapie"/>
        <w:rPr>
          <w:lang w:val="es-ES"/>
        </w:rPr>
      </w:pPr>
      <w:r w:rsidRPr="00403F2C">
        <w:rPr>
          <w:rStyle w:val="Refdenotaalpie"/>
        </w:rPr>
        <w:footnoteRef/>
      </w:r>
      <w:r>
        <w:t xml:space="preserve"> Sistema de seguimiento al plan de desarrollo (SEGPLAN).</w:t>
      </w:r>
    </w:p>
  </w:footnote>
  <w:footnote w:id="5">
    <w:p w:rsidR="006E635E" w:rsidRPr="0027627E" w:rsidRDefault="006E635E" w:rsidP="00B52A9F">
      <w:pPr>
        <w:pStyle w:val="Textonotapie"/>
        <w:rPr>
          <w:lang w:val="es-ES"/>
        </w:rPr>
      </w:pPr>
      <w:r w:rsidRPr="00403F2C">
        <w:rPr>
          <w:rStyle w:val="Refdenotaalpie"/>
        </w:rPr>
        <w:footnoteRef/>
      </w:r>
      <w:r>
        <w:t xml:space="preserve"> Sistema de seguimiento al plan de desarrollo (SEGPLAN).</w:t>
      </w:r>
    </w:p>
  </w:footnote>
  <w:footnote w:id="6">
    <w:p w:rsidR="006E635E" w:rsidRPr="0027627E" w:rsidRDefault="006E635E" w:rsidP="00B52A9F">
      <w:pPr>
        <w:pStyle w:val="Textonotapie"/>
        <w:rPr>
          <w:lang w:val="es-ES"/>
        </w:rPr>
      </w:pPr>
      <w:r w:rsidRPr="00403F2C">
        <w:rPr>
          <w:rStyle w:val="Refdenotaalpie"/>
        </w:rPr>
        <w:footnoteRef/>
      </w:r>
      <w:r>
        <w:t xml:space="preserve"> Sistema de seguimiento al plan de desarrollo (SEGPLAN).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9845856"/>
      <w:docPartObj>
        <w:docPartGallery w:val="Page Numbers (Top of Page)"/>
        <w:docPartUnique/>
      </w:docPartObj>
    </w:sdtPr>
    <w:sdtEndPr/>
    <w:sdtContent>
      <w:p w:rsidR="006E635E" w:rsidRDefault="006E635E">
        <w:pPr>
          <w:pStyle w:val="Encabezado"/>
          <w:jc w:val="right"/>
        </w:pPr>
        <w:r>
          <w:fldChar w:fldCharType="begin"/>
        </w:r>
        <w:r>
          <w:instrText>PAGE   \* MERGEFORMAT</w:instrText>
        </w:r>
        <w:r>
          <w:fldChar w:fldCharType="separate"/>
        </w:r>
        <w:r w:rsidR="00912591">
          <w:rPr>
            <w:noProof/>
          </w:rPr>
          <w:t>2</w:t>
        </w:r>
        <w:r>
          <w:fldChar w:fldCharType="end"/>
        </w:r>
      </w:p>
    </w:sdtContent>
  </w:sdt>
  <w:p w:rsidR="006E635E" w:rsidRPr="003A0989" w:rsidRDefault="006E635E" w:rsidP="00315613">
    <w:pPr>
      <w:pStyle w:val="Encabezado"/>
      <w:tabs>
        <w:tab w:val="right" w:pos="9405"/>
      </w:tabs>
      <w:jc w:val="center"/>
      <w:rPr>
        <w:rFonts w:ascii="Arial" w:hAnsi="Arial" w:cs="Arial"/>
        <w:b/>
        <w:sz w:val="24"/>
        <w:szCs w:val="24"/>
      </w:rPr>
    </w:pPr>
    <w:r>
      <w:rPr>
        <w:rFonts w:ascii="Times New Roman" w:hAnsi="Times New Roman"/>
        <w:b/>
        <w:noProof/>
        <w:sz w:val="24"/>
        <w:szCs w:val="24"/>
        <w:lang w:val="es-ES" w:eastAsia="es-ES"/>
      </w:rPr>
      <w:drawing>
        <wp:inline distT="0" distB="0" distL="0" distR="0" wp14:anchorId="40054FBD" wp14:editId="26D0DE01">
          <wp:extent cx="900000" cy="900000"/>
          <wp:effectExtent l="0" t="0" r="0"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op"/>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358767"/>
      <w:docPartObj>
        <w:docPartGallery w:val="Page Numbers (Top of Page)"/>
        <w:docPartUnique/>
      </w:docPartObj>
    </w:sdtPr>
    <w:sdtEndPr/>
    <w:sdtContent>
      <w:p w:rsidR="006E635E" w:rsidRDefault="006E635E">
        <w:pPr>
          <w:pStyle w:val="Encabezado"/>
          <w:jc w:val="right"/>
        </w:pPr>
        <w:r>
          <w:fldChar w:fldCharType="begin"/>
        </w:r>
        <w:r>
          <w:instrText>PAGE   \* MERGEFORMAT</w:instrText>
        </w:r>
        <w:r>
          <w:fldChar w:fldCharType="separate"/>
        </w:r>
        <w:r w:rsidR="001E7FD9">
          <w:rPr>
            <w:noProof/>
          </w:rPr>
          <w:t>146</w:t>
        </w:r>
        <w:r>
          <w:fldChar w:fldCharType="end"/>
        </w:r>
      </w:p>
    </w:sdtContent>
  </w:sdt>
  <w:p w:rsidR="006E635E" w:rsidRDefault="006E635E" w:rsidP="00315613">
    <w:pPr>
      <w:pStyle w:val="Encabezado"/>
      <w:jc w:val="center"/>
    </w:pPr>
    <w:r>
      <w:rPr>
        <w:rFonts w:ascii="Times New Roman" w:hAnsi="Times New Roman"/>
        <w:b/>
        <w:noProof/>
        <w:sz w:val="24"/>
        <w:szCs w:val="24"/>
        <w:lang w:val="es-ES" w:eastAsia="es-ES"/>
      </w:rPr>
      <w:drawing>
        <wp:inline distT="0" distB="0" distL="0" distR="0" wp14:anchorId="71DFA460" wp14:editId="2BB1D8A8">
          <wp:extent cx="900000" cy="900000"/>
          <wp:effectExtent l="0" t="0" r="0" b="0"/>
          <wp:docPr id="483" name="Imagen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op"/>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635E" w:rsidRPr="009B2DB9" w:rsidRDefault="006E635E" w:rsidP="003B62CD">
    <w:pPr>
      <w:pStyle w:val="Encabezado"/>
      <w:jc w:val="center"/>
      <w:rPr>
        <w:rFonts w:ascii="Arial" w:hAnsi="Arial" w:cs="Arial"/>
        <w:b/>
        <w:sz w:val="18"/>
        <w:szCs w:val="18"/>
      </w:rPr>
    </w:pPr>
    <w:r>
      <w:rPr>
        <w:rFonts w:ascii="Times New Roman" w:hAnsi="Times New Roman"/>
        <w:b/>
        <w:noProof/>
        <w:sz w:val="24"/>
        <w:szCs w:val="24"/>
        <w:lang w:val="es-ES" w:eastAsia="es-ES"/>
      </w:rPr>
      <w:drawing>
        <wp:inline distT="0" distB="0" distL="0" distR="0" wp14:anchorId="617CEF52" wp14:editId="10F5F728">
          <wp:extent cx="838200" cy="874644"/>
          <wp:effectExtent l="0" t="0" r="0" b="190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P_LogotipoOficial_Color.jpg"/>
                  <pic:cNvPicPr/>
                </pic:nvPicPr>
                <pic:blipFill>
                  <a:blip r:embed="rId1">
                    <a:extLst>
                      <a:ext uri="{28A0092B-C50C-407E-A947-70E740481C1C}">
                        <a14:useLocalDpi xmlns:a14="http://schemas.microsoft.com/office/drawing/2010/main" val="0"/>
                      </a:ext>
                    </a:extLst>
                  </a:blip>
                  <a:stretch>
                    <a:fillRect/>
                  </a:stretch>
                </pic:blipFill>
                <pic:spPr>
                  <a:xfrm>
                    <a:off x="0" y="0"/>
                    <a:ext cx="840055" cy="87657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78DD"/>
    <w:multiLevelType w:val="hybridMultilevel"/>
    <w:tmpl w:val="33FCBFC4"/>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1BA768E"/>
    <w:multiLevelType w:val="hybridMultilevel"/>
    <w:tmpl w:val="DF3C9DD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F74D1C"/>
    <w:multiLevelType w:val="hybridMultilevel"/>
    <w:tmpl w:val="9CEE03D0"/>
    <w:lvl w:ilvl="0" w:tplc="9446EC74">
      <w:start w:val="1"/>
      <w:numFmt w:val="bullet"/>
      <w:lvlText w:val=""/>
      <w:lvlJc w:val="left"/>
      <w:pPr>
        <w:ind w:left="720" w:hanging="360"/>
      </w:pPr>
      <w:rPr>
        <w:rFonts w:ascii="Wingdings" w:hAnsi="Wingding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5E06F7"/>
    <w:multiLevelType w:val="hybridMultilevel"/>
    <w:tmpl w:val="C9741C1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79B7BDA"/>
    <w:multiLevelType w:val="multilevel"/>
    <w:tmpl w:val="3598642A"/>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8491ACA"/>
    <w:multiLevelType w:val="hybridMultilevel"/>
    <w:tmpl w:val="23641B18"/>
    <w:lvl w:ilvl="0" w:tplc="E1D8C434">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0C5E2DA9"/>
    <w:multiLevelType w:val="hybridMultilevel"/>
    <w:tmpl w:val="D73C98E0"/>
    <w:lvl w:ilvl="0" w:tplc="240A000B">
      <w:start w:val="1"/>
      <w:numFmt w:val="bullet"/>
      <w:lvlText w:val=""/>
      <w:lvlJc w:val="left"/>
      <w:pPr>
        <w:ind w:left="900" w:hanging="360"/>
      </w:pPr>
      <w:rPr>
        <w:rFonts w:ascii="Wingdings" w:hAnsi="Wingdings" w:hint="default"/>
      </w:rPr>
    </w:lvl>
    <w:lvl w:ilvl="1" w:tplc="240A0003" w:tentative="1">
      <w:start w:val="1"/>
      <w:numFmt w:val="bullet"/>
      <w:lvlText w:val="o"/>
      <w:lvlJc w:val="left"/>
      <w:pPr>
        <w:ind w:left="1620" w:hanging="360"/>
      </w:pPr>
      <w:rPr>
        <w:rFonts w:ascii="Courier New" w:hAnsi="Courier New" w:cs="Courier New" w:hint="default"/>
      </w:rPr>
    </w:lvl>
    <w:lvl w:ilvl="2" w:tplc="240A0005" w:tentative="1">
      <w:start w:val="1"/>
      <w:numFmt w:val="bullet"/>
      <w:lvlText w:val=""/>
      <w:lvlJc w:val="left"/>
      <w:pPr>
        <w:ind w:left="2340" w:hanging="360"/>
      </w:pPr>
      <w:rPr>
        <w:rFonts w:ascii="Wingdings" w:hAnsi="Wingdings" w:hint="default"/>
      </w:rPr>
    </w:lvl>
    <w:lvl w:ilvl="3" w:tplc="240A0001" w:tentative="1">
      <w:start w:val="1"/>
      <w:numFmt w:val="bullet"/>
      <w:lvlText w:val=""/>
      <w:lvlJc w:val="left"/>
      <w:pPr>
        <w:ind w:left="3060" w:hanging="360"/>
      </w:pPr>
      <w:rPr>
        <w:rFonts w:ascii="Symbol" w:hAnsi="Symbol" w:hint="default"/>
      </w:rPr>
    </w:lvl>
    <w:lvl w:ilvl="4" w:tplc="240A0003" w:tentative="1">
      <w:start w:val="1"/>
      <w:numFmt w:val="bullet"/>
      <w:lvlText w:val="o"/>
      <w:lvlJc w:val="left"/>
      <w:pPr>
        <w:ind w:left="3780" w:hanging="360"/>
      </w:pPr>
      <w:rPr>
        <w:rFonts w:ascii="Courier New" w:hAnsi="Courier New" w:cs="Courier New" w:hint="default"/>
      </w:rPr>
    </w:lvl>
    <w:lvl w:ilvl="5" w:tplc="240A0005" w:tentative="1">
      <w:start w:val="1"/>
      <w:numFmt w:val="bullet"/>
      <w:lvlText w:val=""/>
      <w:lvlJc w:val="left"/>
      <w:pPr>
        <w:ind w:left="4500" w:hanging="360"/>
      </w:pPr>
      <w:rPr>
        <w:rFonts w:ascii="Wingdings" w:hAnsi="Wingdings" w:hint="default"/>
      </w:rPr>
    </w:lvl>
    <w:lvl w:ilvl="6" w:tplc="240A0001" w:tentative="1">
      <w:start w:val="1"/>
      <w:numFmt w:val="bullet"/>
      <w:lvlText w:val=""/>
      <w:lvlJc w:val="left"/>
      <w:pPr>
        <w:ind w:left="5220" w:hanging="360"/>
      </w:pPr>
      <w:rPr>
        <w:rFonts w:ascii="Symbol" w:hAnsi="Symbol" w:hint="default"/>
      </w:rPr>
    </w:lvl>
    <w:lvl w:ilvl="7" w:tplc="240A0003" w:tentative="1">
      <w:start w:val="1"/>
      <w:numFmt w:val="bullet"/>
      <w:lvlText w:val="o"/>
      <w:lvlJc w:val="left"/>
      <w:pPr>
        <w:ind w:left="5940" w:hanging="360"/>
      </w:pPr>
      <w:rPr>
        <w:rFonts w:ascii="Courier New" w:hAnsi="Courier New" w:cs="Courier New" w:hint="default"/>
      </w:rPr>
    </w:lvl>
    <w:lvl w:ilvl="8" w:tplc="240A0005" w:tentative="1">
      <w:start w:val="1"/>
      <w:numFmt w:val="bullet"/>
      <w:lvlText w:val=""/>
      <w:lvlJc w:val="left"/>
      <w:pPr>
        <w:ind w:left="6660" w:hanging="360"/>
      </w:pPr>
      <w:rPr>
        <w:rFonts w:ascii="Wingdings" w:hAnsi="Wingdings" w:hint="default"/>
      </w:rPr>
    </w:lvl>
  </w:abstractNum>
  <w:abstractNum w:abstractNumId="7" w15:restartNumberingAfterBreak="0">
    <w:nsid w:val="0DF53257"/>
    <w:multiLevelType w:val="hybridMultilevel"/>
    <w:tmpl w:val="AABA4EF4"/>
    <w:lvl w:ilvl="0" w:tplc="003A149A">
      <w:start w:val="5"/>
      <w:numFmt w:val="upperRoman"/>
      <w:lvlText w:val="%1."/>
      <w:lvlJc w:val="left"/>
      <w:pPr>
        <w:ind w:left="1440" w:hanging="72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0EDF35D2"/>
    <w:multiLevelType w:val="hybridMultilevel"/>
    <w:tmpl w:val="6F62999E"/>
    <w:lvl w:ilvl="0" w:tplc="ABA8D7A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FAB5851"/>
    <w:multiLevelType w:val="hybridMultilevel"/>
    <w:tmpl w:val="EC54040C"/>
    <w:lvl w:ilvl="0" w:tplc="0C0A000B">
      <w:start w:val="1"/>
      <w:numFmt w:val="bullet"/>
      <w:lvlText w:val=""/>
      <w:lvlJc w:val="left"/>
      <w:pPr>
        <w:ind w:left="717" w:hanging="360"/>
      </w:pPr>
      <w:rPr>
        <w:rFonts w:ascii="Wingdings" w:hAnsi="Wingdings"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0" w15:restartNumberingAfterBreak="0">
    <w:nsid w:val="10B10AD2"/>
    <w:multiLevelType w:val="hybridMultilevel"/>
    <w:tmpl w:val="575E2D2C"/>
    <w:lvl w:ilvl="0" w:tplc="0C0A000D">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 w15:restartNumberingAfterBreak="0">
    <w:nsid w:val="114B1183"/>
    <w:multiLevelType w:val="hybridMultilevel"/>
    <w:tmpl w:val="F48AE28C"/>
    <w:lvl w:ilvl="0" w:tplc="0C0A000D">
      <w:start w:val="1"/>
      <w:numFmt w:val="bullet"/>
      <w:lvlText w:val=""/>
      <w:lvlJc w:val="left"/>
      <w:pPr>
        <w:ind w:left="717" w:hanging="360"/>
      </w:pPr>
      <w:rPr>
        <w:rFonts w:ascii="Wingdings" w:hAnsi="Wingdings"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2" w15:restartNumberingAfterBreak="0">
    <w:nsid w:val="11523C4B"/>
    <w:multiLevelType w:val="hybridMultilevel"/>
    <w:tmpl w:val="B46C36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 w15:restartNumberingAfterBreak="0">
    <w:nsid w:val="138519C1"/>
    <w:multiLevelType w:val="hybridMultilevel"/>
    <w:tmpl w:val="90F82068"/>
    <w:lvl w:ilvl="0" w:tplc="C0A4C914">
      <w:numFmt w:val="bullet"/>
      <w:lvlText w:val="•"/>
      <w:lvlJc w:val="left"/>
      <w:pPr>
        <w:ind w:left="1065" w:hanging="705"/>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6DA5EC4"/>
    <w:multiLevelType w:val="hybridMultilevel"/>
    <w:tmpl w:val="A992EC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B2105F7"/>
    <w:multiLevelType w:val="hybridMultilevel"/>
    <w:tmpl w:val="7130D324"/>
    <w:lvl w:ilvl="0" w:tplc="0C0A000F">
      <w:start w:val="1"/>
      <w:numFmt w:val="decimal"/>
      <w:lvlText w:val="%1."/>
      <w:lvlJc w:val="left"/>
      <w:pPr>
        <w:ind w:left="780" w:hanging="360"/>
      </w:pPr>
    </w:lvl>
    <w:lvl w:ilvl="1" w:tplc="0C0A0019" w:tentative="1">
      <w:start w:val="1"/>
      <w:numFmt w:val="lowerLetter"/>
      <w:lvlText w:val="%2."/>
      <w:lvlJc w:val="left"/>
      <w:pPr>
        <w:ind w:left="1500" w:hanging="360"/>
      </w:pPr>
    </w:lvl>
    <w:lvl w:ilvl="2" w:tplc="0C0A001B" w:tentative="1">
      <w:start w:val="1"/>
      <w:numFmt w:val="lowerRoman"/>
      <w:lvlText w:val="%3."/>
      <w:lvlJc w:val="right"/>
      <w:pPr>
        <w:ind w:left="2220" w:hanging="180"/>
      </w:pPr>
    </w:lvl>
    <w:lvl w:ilvl="3" w:tplc="0C0A000F" w:tentative="1">
      <w:start w:val="1"/>
      <w:numFmt w:val="decimal"/>
      <w:lvlText w:val="%4."/>
      <w:lvlJc w:val="left"/>
      <w:pPr>
        <w:ind w:left="2940" w:hanging="360"/>
      </w:pPr>
    </w:lvl>
    <w:lvl w:ilvl="4" w:tplc="0C0A0019" w:tentative="1">
      <w:start w:val="1"/>
      <w:numFmt w:val="lowerLetter"/>
      <w:lvlText w:val="%5."/>
      <w:lvlJc w:val="left"/>
      <w:pPr>
        <w:ind w:left="3660" w:hanging="360"/>
      </w:pPr>
    </w:lvl>
    <w:lvl w:ilvl="5" w:tplc="0C0A001B" w:tentative="1">
      <w:start w:val="1"/>
      <w:numFmt w:val="lowerRoman"/>
      <w:lvlText w:val="%6."/>
      <w:lvlJc w:val="right"/>
      <w:pPr>
        <w:ind w:left="4380" w:hanging="180"/>
      </w:pPr>
    </w:lvl>
    <w:lvl w:ilvl="6" w:tplc="0C0A000F" w:tentative="1">
      <w:start w:val="1"/>
      <w:numFmt w:val="decimal"/>
      <w:lvlText w:val="%7."/>
      <w:lvlJc w:val="left"/>
      <w:pPr>
        <w:ind w:left="5100" w:hanging="360"/>
      </w:pPr>
    </w:lvl>
    <w:lvl w:ilvl="7" w:tplc="0C0A0019" w:tentative="1">
      <w:start w:val="1"/>
      <w:numFmt w:val="lowerLetter"/>
      <w:lvlText w:val="%8."/>
      <w:lvlJc w:val="left"/>
      <w:pPr>
        <w:ind w:left="5820" w:hanging="360"/>
      </w:pPr>
    </w:lvl>
    <w:lvl w:ilvl="8" w:tplc="0C0A001B" w:tentative="1">
      <w:start w:val="1"/>
      <w:numFmt w:val="lowerRoman"/>
      <w:lvlText w:val="%9."/>
      <w:lvlJc w:val="right"/>
      <w:pPr>
        <w:ind w:left="6540" w:hanging="180"/>
      </w:pPr>
    </w:lvl>
  </w:abstractNum>
  <w:abstractNum w:abstractNumId="16" w15:restartNumberingAfterBreak="0">
    <w:nsid w:val="1E357DA9"/>
    <w:multiLevelType w:val="hybridMultilevel"/>
    <w:tmpl w:val="3D4607FE"/>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17" w15:restartNumberingAfterBreak="0">
    <w:nsid w:val="27F50FA3"/>
    <w:multiLevelType w:val="hybridMultilevel"/>
    <w:tmpl w:val="0BECD1E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91B2460"/>
    <w:multiLevelType w:val="hybridMultilevel"/>
    <w:tmpl w:val="85360E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9347A77"/>
    <w:multiLevelType w:val="hybridMultilevel"/>
    <w:tmpl w:val="7FC293D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2D4D0D6E"/>
    <w:multiLevelType w:val="hybridMultilevel"/>
    <w:tmpl w:val="B6C8BBA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D9323C7"/>
    <w:multiLevelType w:val="hybridMultilevel"/>
    <w:tmpl w:val="90708C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2232812"/>
    <w:multiLevelType w:val="hybridMultilevel"/>
    <w:tmpl w:val="06A0608C"/>
    <w:lvl w:ilvl="0" w:tplc="0C0A000B">
      <w:start w:val="1"/>
      <w:numFmt w:val="bullet"/>
      <w:lvlText w:val=""/>
      <w:lvlJc w:val="left"/>
      <w:pPr>
        <w:ind w:left="928"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3B020FD"/>
    <w:multiLevelType w:val="multilevel"/>
    <w:tmpl w:val="7AFECC8A"/>
    <w:lvl w:ilvl="0">
      <w:start w:val="1"/>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4" w15:restartNumberingAfterBreak="0">
    <w:nsid w:val="34491264"/>
    <w:multiLevelType w:val="hybridMultilevel"/>
    <w:tmpl w:val="3E583720"/>
    <w:lvl w:ilvl="0" w:tplc="0C0A0013">
      <w:start w:val="1"/>
      <w:numFmt w:val="upperRoman"/>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5623A4D"/>
    <w:multiLevelType w:val="hybridMultilevel"/>
    <w:tmpl w:val="C556FBE6"/>
    <w:lvl w:ilvl="0" w:tplc="0C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35902287"/>
    <w:multiLevelType w:val="hybridMultilevel"/>
    <w:tmpl w:val="9B20C8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6540433"/>
    <w:multiLevelType w:val="hybridMultilevel"/>
    <w:tmpl w:val="7EB68A96"/>
    <w:lvl w:ilvl="0" w:tplc="A6A0D30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36BD2D1E"/>
    <w:multiLevelType w:val="hybridMultilevel"/>
    <w:tmpl w:val="2028151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9570B99"/>
    <w:multiLevelType w:val="hybridMultilevel"/>
    <w:tmpl w:val="B7DE612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B0E4363"/>
    <w:multiLevelType w:val="hybridMultilevel"/>
    <w:tmpl w:val="1DCA0E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B5738BB"/>
    <w:multiLevelType w:val="hybridMultilevel"/>
    <w:tmpl w:val="2092EE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3BC06DD5"/>
    <w:multiLevelType w:val="hybridMultilevel"/>
    <w:tmpl w:val="962A77F0"/>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33" w15:restartNumberingAfterBreak="0">
    <w:nsid w:val="3BCA0427"/>
    <w:multiLevelType w:val="hybridMultilevel"/>
    <w:tmpl w:val="0234F7A2"/>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34" w15:restartNumberingAfterBreak="0">
    <w:nsid w:val="3FAB4DFB"/>
    <w:multiLevelType w:val="hybridMultilevel"/>
    <w:tmpl w:val="93FA77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34730FF"/>
    <w:multiLevelType w:val="hybridMultilevel"/>
    <w:tmpl w:val="A44EC8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3BB1C52"/>
    <w:multiLevelType w:val="hybridMultilevel"/>
    <w:tmpl w:val="6D1677C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7" w15:restartNumberingAfterBreak="0">
    <w:nsid w:val="44704821"/>
    <w:multiLevelType w:val="hybridMultilevel"/>
    <w:tmpl w:val="D196F62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44C868CA"/>
    <w:multiLevelType w:val="hybridMultilevel"/>
    <w:tmpl w:val="4F724C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4CE43EC"/>
    <w:multiLevelType w:val="hybridMultilevel"/>
    <w:tmpl w:val="0D5CF37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5F05234"/>
    <w:multiLevelType w:val="multilevel"/>
    <w:tmpl w:val="4042B68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49936353"/>
    <w:multiLevelType w:val="hybridMultilevel"/>
    <w:tmpl w:val="459E3CAA"/>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4BDC0BB9"/>
    <w:multiLevelType w:val="hybridMultilevel"/>
    <w:tmpl w:val="E4AC4EE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4C551A99"/>
    <w:multiLevelType w:val="hybridMultilevel"/>
    <w:tmpl w:val="1FA2F2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4E124862"/>
    <w:multiLevelType w:val="hybridMultilevel"/>
    <w:tmpl w:val="409C095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5" w15:restartNumberingAfterBreak="0">
    <w:nsid w:val="4E5B3704"/>
    <w:multiLevelType w:val="hybridMultilevel"/>
    <w:tmpl w:val="9CD89EB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4EB778C7"/>
    <w:multiLevelType w:val="hybridMultilevel"/>
    <w:tmpl w:val="7ECCC4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4F7F0761"/>
    <w:multiLevelType w:val="hybridMultilevel"/>
    <w:tmpl w:val="A9CA33D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50CC6894"/>
    <w:multiLevelType w:val="hybridMultilevel"/>
    <w:tmpl w:val="9DE6FA1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28D321F"/>
    <w:multiLevelType w:val="hybridMultilevel"/>
    <w:tmpl w:val="1F4E6D5C"/>
    <w:lvl w:ilvl="0" w:tplc="0C0A000B">
      <w:start w:val="1"/>
      <w:numFmt w:val="bullet"/>
      <w:lvlText w:val=""/>
      <w:lvlJc w:val="left"/>
      <w:pPr>
        <w:tabs>
          <w:tab w:val="num" w:pos="720"/>
        </w:tabs>
        <w:ind w:left="720" w:hanging="360"/>
      </w:pPr>
      <w:rPr>
        <w:rFonts w:ascii="Wingdings" w:hAnsi="Wingdings" w:hint="default"/>
      </w:rPr>
    </w:lvl>
    <w:lvl w:ilvl="1" w:tplc="2004A522" w:tentative="1">
      <w:start w:val="1"/>
      <w:numFmt w:val="bullet"/>
      <w:lvlText w:val="•"/>
      <w:lvlJc w:val="left"/>
      <w:pPr>
        <w:tabs>
          <w:tab w:val="num" w:pos="1440"/>
        </w:tabs>
        <w:ind w:left="1440" w:hanging="360"/>
      </w:pPr>
      <w:rPr>
        <w:rFonts w:ascii="Times New Roman" w:hAnsi="Times New Roman" w:hint="default"/>
      </w:rPr>
    </w:lvl>
    <w:lvl w:ilvl="2" w:tplc="933E3C2C" w:tentative="1">
      <w:start w:val="1"/>
      <w:numFmt w:val="bullet"/>
      <w:lvlText w:val="•"/>
      <w:lvlJc w:val="left"/>
      <w:pPr>
        <w:tabs>
          <w:tab w:val="num" w:pos="2160"/>
        </w:tabs>
        <w:ind w:left="2160" w:hanging="360"/>
      </w:pPr>
      <w:rPr>
        <w:rFonts w:ascii="Times New Roman" w:hAnsi="Times New Roman" w:hint="default"/>
      </w:rPr>
    </w:lvl>
    <w:lvl w:ilvl="3" w:tplc="B008C43C" w:tentative="1">
      <w:start w:val="1"/>
      <w:numFmt w:val="bullet"/>
      <w:lvlText w:val="•"/>
      <w:lvlJc w:val="left"/>
      <w:pPr>
        <w:tabs>
          <w:tab w:val="num" w:pos="2880"/>
        </w:tabs>
        <w:ind w:left="2880" w:hanging="360"/>
      </w:pPr>
      <w:rPr>
        <w:rFonts w:ascii="Times New Roman" w:hAnsi="Times New Roman" w:hint="default"/>
      </w:rPr>
    </w:lvl>
    <w:lvl w:ilvl="4" w:tplc="DB5619E8" w:tentative="1">
      <w:start w:val="1"/>
      <w:numFmt w:val="bullet"/>
      <w:lvlText w:val="•"/>
      <w:lvlJc w:val="left"/>
      <w:pPr>
        <w:tabs>
          <w:tab w:val="num" w:pos="3600"/>
        </w:tabs>
        <w:ind w:left="3600" w:hanging="360"/>
      </w:pPr>
      <w:rPr>
        <w:rFonts w:ascii="Times New Roman" w:hAnsi="Times New Roman" w:hint="default"/>
      </w:rPr>
    </w:lvl>
    <w:lvl w:ilvl="5" w:tplc="191489D0" w:tentative="1">
      <w:start w:val="1"/>
      <w:numFmt w:val="bullet"/>
      <w:lvlText w:val="•"/>
      <w:lvlJc w:val="left"/>
      <w:pPr>
        <w:tabs>
          <w:tab w:val="num" w:pos="4320"/>
        </w:tabs>
        <w:ind w:left="4320" w:hanging="360"/>
      </w:pPr>
      <w:rPr>
        <w:rFonts w:ascii="Times New Roman" w:hAnsi="Times New Roman" w:hint="default"/>
      </w:rPr>
    </w:lvl>
    <w:lvl w:ilvl="6" w:tplc="84AA08C2" w:tentative="1">
      <w:start w:val="1"/>
      <w:numFmt w:val="bullet"/>
      <w:lvlText w:val="•"/>
      <w:lvlJc w:val="left"/>
      <w:pPr>
        <w:tabs>
          <w:tab w:val="num" w:pos="5040"/>
        </w:tabs>
        <w:ind w:left="5040" w:hanging="360"/>
      </w:pPr>
      <w:rPr>
        <w:rFonts w:ascii="Times New Roman" w:hAnsi="Times New Roman" w:hint="default"/>
      </w:rPr>
    </w:lvl>
    <w:lvl w:ilvl="7" w:tplc="76F4FEE4" w:tentative="1">
      <w:start w:val="1"/>
      <w:numFmt w:val="bullet"/>
      <w:lvlText w:val="•"/>
      <w:lvlJc w:val="left"/>
      <w:pPr>
        <w:tabs>
          <w:tab w:val="num" w:pos="5760"/>
        </w:tabs>
        <w:ind w:left="5760" w:hanging="360"/>
      </w:pPr>
      <w:rPr>
        <w:rFonts w:ascii="Times New Roman" w:hAnsi="Times New Roman" w:hint="default"/>
      </w:rPr>
    </w:lvl>
    <w:lvl w:ilvl="8" w:tplc="0C206D2E"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55A678B2"/>
    <w:multiLevelType w:val="hybridMultilevel"/>
    <w:tmpl w:val="4CD05A96"/>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51" w15:restartNumberingAfterBreak="0">
    <w:nsid w:val="58156D5D"/>
    <w:multiLevelType w:val="hybridMultilevel"/>
    <w:tmpl w:val="99109CE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58C5471D"/>
    <w:multiLevelType w:val="hybridMultilevel"/>
    <w:tmpl w:val="D5C0B114"/>
    <w:lvl w:ilvl="0" w:tplc="CFB4E270">
      <w:start w:val="1"/>
      <w:numFmt w:val="bullet"/>
      <w:lvlText w:val="•"/>
      <w:lvlJc w:val="left"/>
      <w:pPr>
        <w:tabs>
          <w:tab w:val="num" w:pos="720"/>
        </w:tabs>
        <w:ind w:left="720" w:hanging="360"/>
      </w:pPr>
      <w:rPr>
        <w:rFonts w:ascii="Times New Roman" w:hAnsi="Times New Roman" w:hint="default"/>
      </w:rPr>
    </w:lvl>
    <w:lvl w:ilvl="1" w:tplc="80E408E0">
      <w:numFmt w:val="bullet"/>
      <w:lvlText w:val="•"/>
      <w:lvlJc w:val="left"/>
      <w:pPr>
        <w:tabs>
          <w:tab w:val="num" w:pos="1440"/>
        </w:tabs>
        <w:ind w:left="1440" w:hanging="360"/>
      </w:pPr>
      <w:rPr>
        <w:rFonts w:ascii="Times New Roman" w:hAnsi="Times New Roman" w:hint="default"/>
      </w:rPr>
    </w:lvl>
    <w:lvl w:ilvl="2" w:tplc="EEE8F0A2" w:tentative="1">
      <w:start w:val="1"/>
      <w:numFmt w:val="bullet"/>
      <w:lvlText w:val="•"/>
      <w:lvlJc w:val="left"/>
      <w:pPr>
        <w:tabs>
          <w:tab w:val="num" w:pos="2160"/>
        </w:tabs>
        <w:ind w:left="2160" w:hanging="360"/>
      </w:pPr>
      <w:rPr>
        <w:rFonts w:ascii="Times New Roman" w:hAnsi="Times New Roman" w:hint="default"/>
      </w:rPr>
    </w:lvl>
    <w:lvl w:ilvl="3" w:tplc="1FC88BE8" w:tentative="1">
      <w:start w:val="1"/>
      <w:numFmt w:val="bullet"/>
      <w:lvlText w:val="•"/>
      <w:lvlJc w:val="left"/>
      <w:pPr>
        <w:tabs>
          <w:tab w:val="num" w:pos="2880"/>
        </w:tabs>
        <w:ind w:left="2880" w:hanging="360"/>
      </w:pPr>
      <w:rPr>
        <w:rFonts w:ascii="Times New Roman" w:hAnsi="Times New Roman" w:hint="default"/>
      </w:rPr>
    </w:lvl>
    <w:lvl w:ilvl="4" w:tplc="CD70C988" w:tentative="1">
      <w:start w:val="1"/>
      <w:numFmt w:val="bullet"/>
      <w:lvlText w:val="•"/>
      <w:lvlJc w:val="left"/>
      <w:pPr>
        <w:tabs>
          <w:tab w:val="num" w:pos="3600"/>
        </w:tabs>
        <w:ind w:left="3600" w:hanging="360"/>
      </w:pPr>
      <w:rPr>
        <w:rFonts w:ascii="Times New Roman" w:hAnsi="Times New Roman" w:hint="default"/>
      </w:rPr>
    </w:lvl>
    <w:lvl w:ilvl="5" w:tplc="1C44C4A8" w:tentative="1">
      <w:start w:val="1"/>
      <w:numFmt w:val="bullet"/>
      <w:lvlText w:val="•"/>
      <w:lvlJc w:val="left"/>
      <w:pPr>
        <w:tabs>
          <w:tab w:val="num" w:pos="4320"/>
        </w:tabs>
        <w:ind w:left="4320" w:hanging="360"/>
      </w:pPr>
      <w:rPr>
        <w:rFonts w:ascii="Times New Roman" w:hAnsi="Times New Roman" w:hint="default"/>
      </w:rPr>
    </w:lvl>
    <w:lvl w:ilvl="6" w:tplc="DD52258C" w:tentative="1">
      <w:start w:val="1"/>
      <w:numFmt w:val="bullet"/>
      <w:lvlText w:val="•"/>
      <w:lvlJc w:val="left"/>
      <w:pPr>
        <w:tabs>
          <w:tab w:val="num" w:pos="5040"/>
        </w:tabs>
        <w:ind w:left="5040" w:hanging="360"/>
      </w:pPr>
      <w:rPr>
        <w:rFonts w:ascii="Times New Roman" w:hAnsi="Times New Roman" w:hint="default"/>
      </w:rPr>
    </w:lvl>
    <w:lvl w:ilvl="7" w:tplc="CD0A6F24" w:tentative="1">
      <w:start w:val="1"/>
      <w:numFmt w:val="bullet"/>
      <w:lvlText w:val="•"/>
      <w:lvlJc w:val="left"/>
      <w:pPr>
        <w:tabs>
          <w:tab w:val="num" w:pos="5760"/>
        </w:tabs>
        <w:ind w:left="5760" w:hanging="360"/>
      </w:pPr>
      <w:rPr>
        <w:rFonts w:ascii="Times New Roman" w:hAnsi="Times New Roman" w:hint="default"/>
      </w:rPr>
    </w:lvl>
    <w:lvl w:ilvl="8" w:tplc="3CE0AF42"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5A23355A"/>
    <w:multiLevelType w:val="multilevel"/>
    <w:tmpl w:val="D9B0D8F4"/>
    <w:lvl w:ilvl="0">
      <w:start w:val="1"/>
      <w:numFmt w:val="decimal"/>
      <w:lvlText w:val="%1."/>
      <w:lvlJc w:val="left"/>
      <w:pPr>
        <w:ind w:left="170" w:hanging="170"/>
      </w:pPr>
      <w:rPr>
        <w:rFonts w:ascii="Arial" w:hAnsi="Arial" w:hint="default"/>
        <w:b/>
        <w:i w:val="0"/>
        <w:sz w:val="24"/>
      </w:rPr>
    </w:lvl>
    <w:lvl w:ilvl="1">
      <w:start w:val="1"/>
      <w:numFmt w:val="decimal"/>
      <w:lvlText w:val="%1.%2."/>
      <w:lvlJc w:val="left"/>
      <w:pPr>
        <w:ind w:left="312" w:hanging="170"/>
      </w:pPr>
      <w:rPr>
        <w:rFonts w:ascii="Arial" w:hAnsi="Arial" w:hint="default"/>
        <w:b/>
        <w:i w:val="0"/>
        <w:sz w:val="20"/>
      </w:rPr>
    </w:lvl>
    <w:lvl w:ilvl="2">
      <w:start w:val="1"/>
      <w:numFmt w:val="decimal"/>
      <w:lvlText w:val="%1.%2.%3."/>
      <w:lvlJc w:val="left"/>
      <w:pPr>
        <w:ind w:left="454" w:hanging="170"/>
      </w:pPr>
      <w:rPr>
        <w:rFonts w:ascii="Arial" w:hAnsi="Arial" w:hint="default"/>
        <w:b/>
        <w:i w:val="0"/>
        <w:caps/>
        <w:sz w:val="20"/>
      </w:rPr>
    </w:lvl>
    <w:lvl w:ilvl="3">
      <w:start w:val="1"/>
      <w:numFmt w:val="decimal"/>
      <w:lvlText w:val="%1.%2.%3.%4."/>
      <w:lvlJc w:val="left"/>
      <w:pPr>
        <w:ind w:left="170" w:hanging="170"/>
      </w:pPr>
      <w:rPr>
        <w:rFonts w:ascii="Arial" w:hAnsi="Arial" w:hint="default"/>
        <w:b/>
        <w:i w:val="0"/>
        <w:sz w:val="24"/>
      </w:rPr>
    </w:lvl>
    <w:lvl w:ilvl="4">
      <w:start w:val="1"/>
      <w:numFmt w:val="decimal"/>
      <w:lvlText w:val="%1.%2.%3.%4.%5."/>
      <w:lvlJc w:val="left"/>
      <w:pPr>
        <w:tabs>
          <w:tab w:val="num" w:pos="737"/>
        </w:tabs>
        <w:ind w:left="398" w:hanging="170"/>
      </w:pPr>
      <w:rPr>
        <w:rFonts w:ascii="Arial" w:hAnsi="Arial" w:hint="default"/>
        <w:b/>
        <w:i w:val="0"/>
        <w:caps/>
        <w:strike w:val="0"/>
        <w:dstrike w:val="0"/>
      </w:rPr>
    </w:lvl>
    <w:lvl w:ilvl="5">
      <w:start w:val="1"/>
      <w:numFmt w:val="decimal"/>
      <w:lvlText w:val="%1.%2.%3.%4.%5.%6."/>
      <w:lvlJc w:val="left"/>
      <w:pPr>
        <w:ind w:left="455" w:hanging="170"/>
      </w:pPr>
      <w:rPr>
        <w:rFonts w:hint="default"/>
      </w:rPr>
    </w:lvl>
    <w:lvl w:ilvl="6">
      <w:start w:val="1"/>
      <w:numFmt w:val="decimal"/>
      <w:lvlText w:val="%1.%2.%3.%4.%5.%6.%7."/>
      <w:lvlJc w:val="left"/>
      <w:pPr>
        <w:ind w:left="512" w:hanging="170"/>
      </w:pPr>
      <w:rPr>
        <w:rFonts w:hint="default"/>
      </w:rPr>
    </w:lvl>
    <w:lvl w:ilvl="7">
      <w:start w:val="1"/>
      <w:numFmt w:val="decimal"/>
      <w:lvlText w:val="%1.%2.%3.%4.%5.%6.%7.%8."/>
      <w:lvlJc w:val="left"/>
      <w:pPr>
        <w:ind w:left="569" w:hanging="170"/>
      </w:pPr>
      <w:rPr>
        <w:rFonts w:hint="default"/>
      </w:rPr>
    </w:lvl>
    <w:lvl w:ilvl="8">
      <w:start w:val="1"/>
      <w:numFmt w:val="decimal"/>
      <w:lvlText w:val="%1.%2.%3.%4.%5.%6.%7.%8.%9."/>
      <w:lvlJc w:val="left"/>
      <w:pPr>
        <w:ind w:left="626" w:hanging="170"/>
      </w:pPr>
      <w:rPr>
        <w:rFonts w:hint="default"/>
      </w:rPr>
    </w:lvl>
  </w:abstractNum>
  <w:abstractNum w:abstractNumId="54" w15:restartNumberingAfterBreak="0">
    <w:nsid w:val="5DEF64D6"/>
    <w:multiLevelType w:val="hybridMultilevel"/>
    <w:tmpl w:val="50AE87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5FDC45D6"/>
    <w:multiLevelType w:val="hybridMultilevel"/>
    <w:tmpl w:val="E02CA92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60B72A6F"/>
    <w:multiLevelType w:val="hybridMultilevel"/>
    <w:tmpl w:val="49ACBF6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62301570"/>
    <w:multiLevelType w:val="hybridMultilevel"/>
    <w:tmpl w:val="330A84DA"/>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58" w15:restartNumberingAfterBreak="0">
    <w:nsid w:val="635F0BB0"/>
    <w:multiLevelType w:val="hybridMultilevel"/>
    <w:tmpl w:val="3934D3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63A16C2B"/>
    <w:multiLevelType w:val="hybridMultilevel"/>
    <w:tmpl w:val="0DA83F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3CC5181"/>
    <w:multiLevelType w:val="hybridMultilevel"/>
    <w:tmpl w:val="05C6EC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64387565"/>
    <w:multiLevelType w:val="multilevel"/>
    <w:tmpl w:val="DDB6091C"/>
    <w:lvl w:ilvl="0">
      <w:start w:val="5"/>
      <w:numFmt w:val="decimal"/>
      <w:lvlText w:val="%1."/>
      <w:lvlJc w:val="left"/>
      <w:pPr>
        <w:ind w:left="360" w:hanging="36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2" w15:restartNumberingAfterBreak="0">
    <w:nsid w:val="65605BC5"/>
    <w:multiLevelType w:val="hybridMultilevel"/>
    <w:tmpl w:val="A4FE30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9F8128C"/>
    <w:multiLevelType w:val="multilevel"/>
    <w:tmpl w:val="A2C4A908"/>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15:restartNumberingAfterBreak="0">
    <w:nsid w:val="7308479F"/>
    <w:multiLevelType w:val="hybridMultilevel"/>
    <w:tmpl w:val="822442F4"/>
    <w:lvl w:ilvl="0" w:tplc="0C0A0001">
      <w:start w:val="1"/>
      <w:numFmt w:val="bullet"/>
      <w:lvlText w:val=""/>
      <w:lvlJc w:val="left"/>
      <w:pPr>
        <w:ind w:left="717" w:hanging="360"/>
      </w:pPr>
      <w:rPr>
        <w:rFonts w:ascii="Symbol" w:hAnsi="Symbol"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65" w15:restartNumberingAfterBreak="0">
    <w:nsid w:val="73F71293"/>
    <w:multiLevelType w:val="hybridMultilevel"/>
    <w:tmpl w:val="2D300046"/>
    <w:lvl w:ilvl="0" w:tplc="535692AA">
      <w:start w:val="2"/>
      <w:numFmt w:val="bullet"/>
      <w:lvlText w:val=""/>
      <w:lvlJc w:val="left"/>
      <w:pPr>
        <w:ind w:left="360" w:hanging="360"/>
      </w:pPr>
      <w:rPr>
        <w:rFonts w:ascii="Symbol" w:eastAsia="Calibri" w:hAnsi="Symbo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6" w15:restartNumberingAfterBreak="0">
    <w:nsid w:val="79EB09B0"/>
    <w:multiLevelType w:val="hybridMultilevel"/>
    <w:tmpl w:val="AFE6A09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4"/>
  </w:num>
  <w:num w:numId="2">
    <w:abstractNumId w:val="65"/>
  </w:num>
  <w:num w:numId="3">
    <w:abstractNumId w:val="54"/>
  </w:num>
  <w:num w:numId="4">
    <w:abstractNumId w:val="36"/>
  </w:num>
  <w:num w:numId="5">
    <w:abstractNumId w:val="44"/>
  </w:num>
  <w:num w:numId="6">
    <w:abstractNumId w:val="11"/>
  </w:num>
  <w:num w:numId="7">
    <w:abstractNumId w:val="64"/>
  </w:num>
  <w:num w:numId="8">
    <w:abstractNumId w:val="46"/>
  </w:num>
  <w:num w:numId="9">
    <w:abstractNumId w:val="7"/>
  </w:num>
  <w:num w:numId="10">
    <w:abstractNumId w:val="29"/>
  </w:num>
  <w:num w:numId="11">
    <w:abstractNumId w:val="26"/>
  </w:num>
  <w:num w:numId="12">
    <w:abstractNumId w:val="31"/>
  </w:num>
  <w:num w:numId="13">
    <w:abstractNumId w:val="30"/>
  </w:num>
  <w:num w:numId="14">
    <w:abstractNumId w:val="13"/>
  </w:num>
  <w:num w:numId="15">
    <w:abstractNumId w:val="19"/>
  </w:num>
  <w:num w:numId="16">
    <w:abstractNumId w:val="60"/>
  </w:num>
  <w:num w:numId="17">
    <w:abstractNumId w:val="8"/>
  </w:num>
  <w:num w:numId="18">
    <w:abstractNumId w:val="27"/>
  </w:num>
  <w:num w:numId="19">
    <w:abstractNumId w:val="53"/>
  </w:num>
  <w:num w:numId="20">
    <w:abstractNumId w:val="62"/>
  </w:num>
  <w:num w:numId="21">
    <w:abstractNumId w:val="37"/>
  </w:num>
  <w:num w:numId="22">
    <w:abstractNumId w:val="25"/>
  </w:num>
  <w:num w:numId="23">
    <w:abstractNumId w:val="66"/>
  </w:num>
  <w:num w:numId="24">
    <w:abstractNumId w:val="49"/>
  </w:num>
  <w:num w:numId="25">
    <w:abstractNumId w:val="55"/>
  </w:num>
  <w:num w:numId="26">
    <w:abstractNumId w:val="21"/>
  </w:num>
  <w:num w:numId="27">
    <w:abstractNumId w:val="52"/>
  </w:num>
  <w:num w:numId="28">
    <w:abstractNumId w:val="17"/>
  </w:num>
  <w:num w:numId="29">
    <w:abstractNumId w:val="18"/>
  </w:num>
  <w:num w:numId="30">
    <w:abstractNumId w:val="9"/>
  </w:num>
  <w:num w:numId="31">
    <w:abstractNumId w:val="0"/>
  </w:num>
  <w:num w:numId="32">
    <w:abstractNumId w:val="42"/>
  </w:num>
  <w:num w:numId="33">
    <w:abstractNumId w:val="2"/>
  </w:num>
  <w:num w:numId="34">
    <w:abstractNumId w:val="6"/>
  </w:num>
  <w:num w:numId="35">
    <w:abstractNumId w:val="41"/>
  </w:num>
  <w:num w:numId="36">
    <w:abstractNumId w:val="20"/>
  </w:num>
  <w:num w:numId="37">
    <w:abstractNumId w:val="38"/>
  </w:num>
  <w:num w:numId="38">
    <w:abstractNumId w:val="39"/>
  </w:num>
  <w:num w:numId="39">
    <w:abstractNumId w:val="57"/>
  </w:num>
  <w:num w:numId="40">
    <w:abstractNumId w:val="16"/>
  </w:num>
  <w:num w:numId="41">
    <w:abstractNumId w:val="32"/>
  </w:num>
  <w:num w:numId="42">
    <w:abstractNumId w:val="33"/>
  </w:num>
  <w:num w:numId="43">
    <w:abstractNumId w:val="50"/>
  </w:num>
  <w:num w:numId="44">
    <w:abstractNumId w:val="28"/>
  </w:num>
  <w:num w:numId="45">
    <w:abstractNumId w:val="3"/>
  </w:num>
  <w:num w:numId="46">
    <w:abstractNumId w:val="14"/>
  </w:num>
  <w:num w:numId="47">
    <w:abstractNumId w:val="45"/>
  </w:num>
  <w:num w:numId="48">
    <w:abstractNumId w:val="58"/>
  </w:num>
  <w:num w:numId="49">
    <w:abstractNumId w:val="48"/>
  </w:num>
  <w:num w:numId="50">
    <w:abstractNumId w:val="63"/>
  </w:num>
  <w:num w:numId="51">
    <w:abstractNumId w:val="5"/>
  </w:num>
  <w:num w:numId="52">
    <w:abstractNumId w:val="12"/>
  </w:num>
  <w:num w:numId="53">
    <w:abstractNumId w:val="10"/>
  </w:num>
  <w:num w:numId="54">
    <w:abstractNumId w:val="40"/>
  </w:num>
  <w:num w:numId="55">
    <w:abstractNumId w:val="15"/>
  </w:num>
  <w:num w:numId="56">
    <w:abstractNumId w:val="22"/>
  </w:num>
  <w:num w:numId="57">
    <w:abstractNumId w:val="47"/>
  </w:num>
  <w:num w:numId="58">
    <w:abstractNumId w:val="59"/>
  </w:num>
  <w:num w:numId="59">
    <w:abstractNumId w:val="1"/>
  </w:num>
  <w:num w:numId="60">
    <w:abstractNumId w:val="56"/>
  </w:num>
  <w:num w:numId="61">
    <w:abstractNumId w:val="35"/>
  </w:num>
  <w:num w:numId="62">
    <w:abstractNumId w:val="51"/>
  </w:num>
  <w:num w:numId="63">
    <w:abstractNumId w:val="34"/>
  </w:num>
  <w:num w:numId="64">
    <w:abstractNumId w:val="43"/>
  </w:num>
  <w:num w:numId="65">
    <w:abstractNumId w:val="61"/>
  </w:num>
  <w:num w:numId="66">
    <w:abstractNumId w:val="23"/>
  </w:num>
  <w:num w:numId="67">
    <w:abstractNumId w:val="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formatting="1" w:enforcement="0"/>
  <w:defaultTabStop w:val="708"/>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BDA"/>
    <w:rsid w:val="0000332F"/>
    <w:rsid w:val="00004084"/>
    <w:rsid w:val="0000754E"/>
    <w:rsid w:val="00010F4D"/>
    <w:rsid w:val="000131AC"/>
    <w:rsid w:val="00015ECF"/>
    <w:rsid w:val="00022CA8"/>
    <w:rsid w:val="00024517"/>
    <w:rsid w:val="000256D8"/>
    <w:rsid w:val="00025E55"/>
    <w:rsid w:val="00027EE7"/>
    <w:rsid w:val="00030425"/>
    <w:rsid w:val="00030642"/>
    <w:rsid w:val="00031F3B"/>
    <w:rsid w:val="00032105"/>
    <w:rsid w:val="000356E9"/>
    <w:rsid w:val="00037A0F"/>
    <w:rsid w:val="00037EB0"/>
    <w:rsid w:val="00037F57"/>
    <w:rsid w:val="00042B68"/>
    <w:rsid w:val="00043EF4"/>
    <w:rsid w:val="00050020"/>
    <w:rsid w:val="0005377A"/>
    <w:rsid w:val="00062171"/>
    <w:rsid w:val="000642CE"/>
    <w:rsid w:val="000663AE"/>
    <w:rsid w:val="00071B3F"/>
    <w:rsid w:val="00071F26"/>
    <w:rsid w:val="00076855"/>
    <w:rsid w:val="0008173B"/>
    <w:rsid w:val="00084C94"/>
    <w:rsid w:val="00093548"/>
    <w:rsid w:val="000935F5"/>
    <w:rsid w:val="00093B1C"/>
    <w:rsid w:val="00095A5D"/>
    <w:rsid w:val="000A3C9B"/>
    <w:rsid w:val="000B0662"/>
    <w:rsid w:val="000B528D"/>
    <w:rsid w:val="000B60C3"/>
    <w:rsid w:val="000B6971"/>
    <w:rsid w:val="000B771A"/>
    <w:rsid w:val="000C4A79"/>
    <w:rsid w:val="000C53E7"/>
    <w:rsid w:val="000C58E8"/>
    <w:rsid w:val="000C7ADB"/>
    <w:rsid w:val="000D630E"/>
    <w:rsid w:val="000D72BC"/>
    <w:rsid w:val="000E5641"/>
    <w:rsid w:val="000E56E0"/>
    <w:rsid w:val="000E5763"/>
    <w:rsid w:val="000E6F99"/>
    <w:rsid w:val="000E7CF9"/>
    <w:rsid w:val="000F4227"/>
    <w:rsid w:val="00112837"/>
    <w:rsid w:val="00117A34"/>
    <w:rsid w:val="00126FDE"/>
    <w:rsid w:val="001333A6"/>
    <w:rsid w:val="001339D4"/>
    <w:rsid w:val="00136035"/>
    <w:rsid w:val="0014243E"/>
    <w:rsid w:val="0014291D"/>
    <w:rsid w:val="00143317"/>
    <w:rsid w:val="0015130E"/>
    <w:rsid w:val="00151F07"/>
    <w:rsid w:val="00155BF4"/>
    <w:rsid w:val="00156A50"/>
    <w:rsid w:val="00160DB1"/>
    <w:rsid w:val="00164706"/>
    <w:rsid w:val="00165A83"/>
    <w:rsid w:val="0017059B"/>
    <w:rsid w:val="0017576C"/>
    <w:rsid w:val="00176368"/>
    <w:rsid w:val="00180D64"/>
    <w:rsid w:val="00183397"/>
    <w:rsid w:val="0018498E"/>
    <w:rsid w:val="00192281"/>
    <w:rsid w:val="00193217"/>
    <w:rsid w:val="00193D37"/>
    <w:rsid w:val="001964B7"/>
    <w:rsid w:val="001A17FE"/>
    <w:rsid w:val="001A1BD4"/>
    <w:rsid w:val="001A40C2"/>
    <w:rsid w:val="001B78D3"/>
    <w:rsid w:val="001C59BC"/>
    <w:rsid w:val="001D4280"/>
    <w:rsid w:val="001D5963"/>
    <w:rsid w:val="001D71FA"/>
    <w:rsid w:val="001E11E2"/>
    <w:rsid w:val="001E7FD9"/>
    <w:rsid w:val="001F01E0"/>
    <w:rsid w:val="001F1123"/>
    <w:rsid w:val="001F22A1"/>
    <w:rsid w:val="001F6309"/>
    <w:rsid w:val="001F6F15"/>
    <w:rsid w:val="00202787"/>
    <w:rsid w:val="00206A8B"/>
    <w:rsid w:val="00216BEA"/>
    <w:rsid w:val="00221395"/>
    <w:rsid w:val="00221EC5"/>
    <w:rsid w:val="00231106"/>
    <w:rsid w:val="00231B9A"/>
    <w:rsid w:val="00232D00"/>
    <w:rsid w:val="0024065B"/>
    <w:rsid w:val="002532BA"/>
    <w:rsid w:val="002540DB"/>
    <w:rsid w:val="002564B9"/>
    <w:rsid w:val="00267515"/>
    <w:rsid w:val="00273C1E"/>
    <w:rsid w:val="00275724"/>
    <w:rsid w:val="0027777A"/>
    <w:rsid w:val="00284226"/>
    <w:rsid w:val="002931A7"/>
    <w:rsid w:val="002A2796"/>
    <w:rsid w:val="002A4276"/>
    <w:rsid w:val="002A4E15"/>
    <w:rsid w:val="002A568E"/>
    <w:rsid w:val="002A7C41"/>
    <w:rsid w:val="002B0B09"/>
    <w:rsid w:val="002B1B5C"/>
    <w:rsid w:val="002B1ECD"/>
    <w:rsid w:val="002C67B6"/>
    <w:rsid w:val="002D4BD4"/>
    <w:rsid w:val="002D5F01"/>
    <w:rsid w:val="002D6710"/>
    <w:rsid w:val="002E1440"/>
    <w:rsid w:val="002E4398"/>
    <w:rsid w:val="002E684F"/>
    <w:rsid w:val="002E71E6"/>
    <w:rsid w:val="002F2A67"/>
    <w:rsid w:val="002F5319"/>
    <w:rsid w:val="002F7A04"/>
    <w:rsid w:val="00303675"/>
    <w:rsid w:val="00303E54"/>
    <w:rsid w:val="00304502"/>
    <w:rsid w:val="003052F8"/>
    <w:rsid w:val="00311CEC"/>
    <w:rsid w:val="00314DD1"/>
    <w:rsid w:val="00315613"/>
    <w:rsid w:val="0032327F"/>
    <w:rsid w:val="00325F31"/>
    <w:rsid w:val="00327F07"/>
    <w:rsid w:val="00336007"/>
    <w:rsid w:val="0033668F"/>
    <w:rsid w:val="00342809"/>
    <w:rsid w:val="00344894"/>
    <w:rsid w:val="003450AA"/>
    <w:rsid w:val="00352B19"/>
    <w:rsid w:val="003535D5"/>
    <w:rsid w:val="003643F9"/>
    <w:rsid w:val="0036446A"/>
    <w:rsid w:val="003662FE"/>
    <w:rsid w:val="00377878"/>
    <w:rsid w:val="00380632"/>
    <w:rsid w:val="00381614"/>
    <w:rsid w:val="003846A6"/>
    <w:rsid w:val="00385BE9"/>
    <w:rsid w:val="0039053A"/>
    <w:rsid w:val="003932B9"/>
    <w:rsid w:val="00393FAD"/>
    <w:rsid w:val="003A0989"/>
    <w:rsid w:val="003B2DB5"/>
    <w:rsid w:val="003B62CD"/>
    <w:rsid w:val="003C0B14"/>
    <w:rsid w:val="003D08FF"/>
    <w:rsid w:val="003E5169"/>
    <w:rsid w:val="003E6DBB"/>
    <w:rsid w:val="003F4EBC"/>
    <w:rsid w:val="003F5B0A"/>
    <w:rsid w:val="003F6A5E"/>
    <w:rsid w:val="00410AC1"/>
    <w:rsid w:val="00422902"/>
    <w:rsid w:val="00426CE9"/>
    <w:rsid w:val="00432781"/>
    <w:rsid w:val="00433229"/>
    <w:rsid w:val="00436F9C"/>
    <w:rsid w:val="004412FC"/>
    <w:rsid w:val="004418CF"/>
    <w:rsid w:val="004474BD"/>
    <w:rsid w:val="00450674"/>
    <w:rsid w:val="004546F2"/>
    <w:rsid w:val="00454A74"/>
    <w:rsid w:val="004610C4"/>
    <w:rsid w:val="00464FBC"/>
    <w:rsid w:val="004655C4"/>
    <w:rsid w:val="004678B4"/>
    <w:rsid w:val="00471602"/>
    <w:rsid w:val="00474DA6"/>
    <w:rsid w:val="00483019"/>
    <w:rsid w:val="00486323"/>
    <w:rsid w:val="004A1321"/>
    <w:rsid w:val="004A234F"/>
    <w:rsid w:val="004A702D"/>
    <w:rsid w:val="004A779E"/>
    <w:rsid w:val="004B160C"/>
    <w:rsid w:val="004B2C77"/>
    <w:rsid w:val="004B79F5"/>
    <w:rsid w:val="004C137B"/>
    <w:rsid w:val="004C1621"/>
    <w:rsid w:val="004D07A2"/>
    <w:rsid w:val="004D12C6"/>
    <w:rsid w:val="004D1B2E"/>
    <w:rsid w:val="004D5A43"/>
    <w:rsid w:val="004D6F80"/>
    <w:rsid w:val="004E0960"/>
    <w:rsid w:val="004F2074"/>
    <w:rsid w:val="004F7552"/>
    <w:rsid w:val="005036BE"/>
    <w:rsid w:val="0050402F"/>
    <w:rsid w:val="0050792D"/>
    <w:rsid w:val="00507A27"/>
    <w:rsid w:val="005111C0"/>
    <w:rsid w:val="00515B9E"/>
    <w:rsid w:val="0051647B"/>
    <w:rsid w:val="00520426"/>
    <w:rsid w:val="00520967"/>
    <w:rsid w:val="00522ABE"/>
    <w:rsid w:val="0052468D"/>
    <w:rsid w:val="00524D1D"/>
    <w:rsid w:val="005259AA"/>
    <w:rsid w:val="00531AA9"/>
    <w:rsid w:val="0053226A"/>
    <w:rsid w:val="0054605A"/>
    <w:rsid w:val="005506DC"/>
    <w:rsid w:val="005546AF"/>
    <w:rsid w:val="0055687A"/>
    <w:rsid w:val="0056048B"/>
    <w:rsid w:val="005613C1"/>
    <w:rsid w:val="00561FE1"/>
    <w:rsid w:val="0056681A"/>
    <w:rsid w:val="00570A6E"/>
    <w:rsid w:val="00572065"/>
    <w:rsid w:val="00573B73"/>
    <w:rsid w:val="0057468E"/>
    <w:rsid w:val="00580F2D"/>
    <w:rsid w:val="00583FC4"/>
    <w:rsid w:val="00584032"/>
    <w:rsid w:val="005856C3"/>
    <w:rsid w:val="005963EC"/>
    <w:rsid w:val="005A7B34"/>
    <w:rsid w:val="005B42D7"/>
    <w:rsid w:val="005B5C7B"/>
    <w:rsid w:val="005B6532"/>
    <w:rsid w:val="005B6DE9"/>
    <w:rsid w:val="005C01C7"/>
    <w:rsid w:val="005C1380"/>
    <w:rsid w:val="005C4DAA"/>
    <w:rsid w:val="005D5DE0"/>
    <w:rsid w:val="005D6B51"/>
    <w:rsid w:val="005E5C6F"/>
    <w:rsid w:val="005E6E13"/>
    <w:rsid w:val="00603917"/>
    <w:rsid w:val="00604614"/>
    <w:rsid w:val="00611DF7"/>
    <w:rsid w:val="00612AE6"/>
    <w:rsid w:val="00615698"/>
    <w:rsid w:val="00620AAD"/>
    <w:rsid w:val="00621073"/>
    <w:rsid w:val="006221E2"/>
    <w:rsid w:val="0062450C"/>
    <w:rsid w:val="0062713F"/>
    <w:rsid w:val="0063630B"/>
    <w:rsid w:val="0063656D"/>
    <w:rsid w:val="00637C58"/>
    <w:rsid w:val="00642127"/>
    <w:rsid w:val="00656A96"/>
    <w:rsid w:val="006574B8"/>
    <w:rsid w:val="00662401"/>
    <w:rsid w:val="006667FE"/>
    <w:rsid w:val="00666F19"/>
    <w:rsid w:val="006726D3"/>
    <w:rsid w:val="0067529F"/>
    <w:rsid w:val="00676582"/>
    <w:rsid w:val="006800E8"/>
    <w:rsid w:val="0068023C"/>
    <w:rsid w:val="00693227"/>
    <w:rsid w:val="00693495"/>
    <w:rsid w:val="00693DE6"/>
    <w:rsid w:val="00693FD0"/>
    <w:rsid w:val="0069409B"/>
    <w:rsid w:val="006B104C"/>
    <w:rsid w:val="006B2297"/>
    <w:rsid w:val="006B3368"/>
    <w:rsid w:val="006C09AA"/>
    <w:rsid w:val="006C6523"/>
    <w:rsid w:val="006C7E39"/>
    <w:rsid w:val="006D08AA"/>
    <w:rsid w:val="006D1C25"/>
    <w:rsid w:val="006D46EA"/>
    <w:rsid w:val="006E0D46"/>
    <w:rsid w:val="006E635E"/>
    <w:rsid w:val="006F4D6C"/>
    <w:rsid w:val="0070354E"/>
    <w:rsid w:val="007078C8"/>
    <w:rsid w:val="00711BE8"/>
    <w:rsid w:val="00724680"/>
    <w:rsid w:val="00725BD5"/>
    <w:rsid w:val="00733D13"/>
    <w:rsid w:val="007375DE"/>
    <w:rsid w:val="007376F5"/>
    <w:rsid w:val="00741328"/>
    <w:rsid w:val="007609DD"/>
    <w:rsid w:val="00762049"/>
    <w:rsid w:val="007633A5"/>
    <w:rsid w:val="007729CE"/>
    <w:rsid w:val="00776343"/>
    <w:rsid w:val="00777C7D"/>
    <w:rsid w:val="007869B3"/>
    <w:rsid w:val="00793FBA"/>
    <w:rsid w:val="0079777A"/>
    <w:rsid w:val="007A1776"/>
    <w:rsid w:val="007A396B"/>
    <w:rsid w:val="007A72D3"/>
    <w:rsid w:val="007B0BA6"/>
    <w:rsid w:val="007B53F6"/>
    <w:rsid w:val="007B5930"/>
    <w:rsid w:val="007C032F"/>
    <w:rsid w:val="007C1212"/>
    <w:rsid w:val="007C642D"/>
    <w:rsid w:val="007C7FDB"/>
    <w:rsid w:val="007D5776"/>
    <w:rsid w:val="007D7A6A"/>
    <w:rsid w:val="007E046B"/>
    <w:rsid w:val="007E354D"/>
    <w:rsid w:val="007E42E2"/>
    <w:rsid w:val="007E5385"/>
    <w:rsid w:val="007E7584"/>
    <w:rsid w:val="007F223E"/>
    <w:rsid w:val="007F62AA"/>
    <w:rsid w:val="00802FE9"/>
    <w:rsid w:val="00804131"/>
    <w:rsid w:val="0081152E"/>
    <w:rsid w:val="00825DB4"/>
    <w:rsid w:val="00830B71"/>
    <w:rsid w:val="008409B9"/>
    <w:rsid w:val="008456DF"/>
    <w:rsid w:val="00853562"/>
    <w:rsid w:val="008714F1"/>
    <w:rsid w:val="00875E55"/>
    <w:rsid w:val="00877678"/>
    <w:rsid w:val="00885872"/>
    <w:rsid w:val="00890AA6"/>
    <w:rsid w:val="008944C6"/>
    <w:rsid w:val="008A56AA"/>
    <w:rsid w:val="008B14E3"/>
    <w:rsid w:val="008B38A3"/>
    <w:rsid w:val="008B3AB8"/>
    <w:rsid w:val="008B3F3E"/>
    <w:rsid w:val="008B4E23"/>
    <w:rsid w:val="008B6B9E"/>
    <w:rsid w:val="008C0B87"/>
    <w:rsid w:val="008C15A4"/>
    <w:rsid w:val="008C577D"/>
    <w:rsid w:val="008C6A8D"/>
    <w:rsid w:val="008C6F4A"/>
    <w:rsid w:val="008C76AF"/>
    <w:rsid w:val="008D2209"/>
    <w:rsid w:val="008D54EB"/>
    <w:rsid w:val="008D7631"/>
    <w:rsid w:val="008E14A4"/>
    <w:rsid w:val="008F33B1"/>
    <w:rsid w:val="008F41B2"/>
    <w:rsid w:val="008F41FC"/>
    <w:rsid w:val="008F4EDF"/>
    <w:rsid w:val="00906E42"/>
    <w:rsid w:val="00912591"/>
    <w:rsid w:val="00915189"/>
    <w:rsid w:val="009226FB"/>
    <w:rsid w:val="00923C75"/>
    <w:rsid w:val="00933218"/>
    <w:rsid w:val="00933D99"/>
    <w:rsid w:val="00937281"/>
    <w:rsid w:val="00941E95"/>
    <w:rsid w:val="009466D4"/>
    <w:rsid w:val="009468D8"/>
    <w:rsid w:val="00952C9C"/>
    <w:rsid w:val="009554B9"/>
    <w:rsid w:val="00963D2E"/>
    <w:rsid w:val="00970CD8"/>
    <w:rsid w:val="009710D0"/>
    <w:rsid w:val="009732B4"/>
    <w:rsid w:val="0097465F"/>
    <w:rsid w:val="00974CE9"/>
    <w:rsid w:val="00975A1B"/>
    <w:rsid w:val="00981616"/>
    <w:rsid w:val="0098222D"/>
    <w:rsid w:val="0098324E"/>
    <w:rsid w:val="00986816"/>
    <w:rsid w:val="00990784"/>
    <w:rsid w:val="0099159D"/>
    <w:rsid w:val="00991AAC"/>
    <w:rsid w:val="009931D6"/>
    <w:rsid w:val="00993884"/>
    <w:rsid w:val="0099541D"/>
    <w:rsid w:val="00997328"/>
    <w:rsid w:val="00997536"/>
    <w:rsid w:val="009A07B7"/>
    <w:rsid w:val="009B0C9E"/>
    <w:rsid w:val="009B2DB9"/>
    <w:rsid w:val="009C04A7"/>
    <w:rsid w:val="009C38D8"/>
    <w:rsid w:val="009C4138"/>
    <w:rsid w:val="009C4C7C"/>
    <w:rsid w:val="009C5BD3"/>
    <w:rsid w:val="009E5C24"/>
    <w:rsid w:val="009F1733"/>
    <w:rsid w:val="009F5368"/>
    <w:rsid w:val="009F630E"/>
    <w:rsid w:val="00A06938"/>
    <w:rsid w:val="00A113A9"/>
    <w:rsid w:val="00A149DF"/>
    <w:rsid w:val="00A17A5A"/>
    <w:rsid w:val="00A17C2F"/>
    <w:rsid w:val="00A34937"/>
    <w:rsid w:val="00A40503"/>
    <w:rsid w:val="00A42A5E"/>
    <w:rsid w:val="00A47EB6"/>
    <w:rsid w:val="00A512EE"/>
    <w:rsid w:val="00A55294"/>
    <w:rsid w:val="00A640A4"/>
    <w:rsid w:val="00A64869"/>
    <w:rsid w:val="00A706E9"/>
    <w:rsid w:val="00A74AA5"/>
    <w:rsid w:val="00A95B08"/>
    <w:rsid w:val="00AA0691"/>
    <w:rsid w:val="00AA3F57"/>
    <w:rsid w:val="00AA48A9"/>
    <w:rsid w:val="00AC5120"/>
    <w:rsid w:val="00AC5FF9"/>
    <w:rsid w:val="00AD21CF"/>
    <w:rsid w:val="00AD51BF"/>
    <w:rsid w:val="00AE0C9B"/>
    <w:rsid w:val="00AE39F2"/>
    <w:rsid w:val="00AE7B5D"/>
    <w:rsid w:val="00AF4A53"/>
    <w:rsid w:val="00AF68CC"/>
    <w:rsid w:val="00AF723E"/>
    <w:rsid w:val="00AF727A"/>
    <w:rsid w:val="00B044B8"/>
    <w:rsid w:val="00B06670"/>
    <w:rsid w:val="00B13883"/>
    <w:rsid w:val="00B157E1"/>
    <w:rsid w:val="00B26A7B"/>
    <w:rsid w:val="00B32348"/>
    <w:rsid w:val="00B379AE"/>
    <w:rsid w:val="00B421A6"/>
    <w:rsid w:val="00B458A2"/>
    <w:rsid w:val="00B51368"/>
    <w:rsid w:val="00B52A9F"/>
    <w:rsid w:val="00B53B3E"/>
    <w:rsid w:val="00B6128E"/>
    <w:rsid w:val="00B6252B"/>
    <w:rsid w:val="00B6422A"/>
    <w:rsid w:val="00B7679F"/>
    <w:rsid w:val="00B87234"/>
    <w:rsid w:val="00B87383"/>
    <w:rsid w:val="00B92476"/>
    <w:rsid w:val="00B9424D"/>
    <w:rsid w:val="00B94404"/>
    <w:rsid w:val="00BA068D"/>
    <w:rsid w:val="00BA0CF3"/>
    <w:rsid w:val="00BA1C3F"/>
    <w:rsid w:val="00BA2636"/>
    <w:rsid w:val="00BA265F"/>
    <w:rsid w:val="00BB213B"/>
    <w:rsid w:val="00BB2CBA"/>
    <w:rsid w:val="00BC1385"/>
    <w:rsid w:val="00BC17E0"/>
    <w:rsid w:val="00BD0C0C"/>
    <w:rsid w:val="00BD189C"/>
    <w:rsid w:val="00BD1D4D"/>
    <w:rsid w:val="00BD491D"/>
    <w:rsid w:val="00BD4DF1"/>
    <w:rsid w:val="00BE467D"/>
    <w:rsid w:val="00BE7B2E"/>
    <w:rsid w:val="00BF1482"/>
    <w:rsid w:val="00BF4C68"/>
    <w:rsid w:val="00BF6199"/>
    <w:rsid w:val="00C10800"/>
    <w:rsid w:val="00C12E80"/>
    <w:rsid w:val="00C16785"/>
    <w:rsid w:val="00C17DFF"/>
    <w:rsid w:val="00C21EB1"/>
    <w:rsid w:val="00C27C5A"/>
    <w:rsid w:val="00C30E0B"/>
    <w:rsid w:val="00C35AF4"/>
    <w:rsid w:val="00C364CA"/>
    <w:rsid w:val="00C3798D"/>
    <w:rsid w:val="00C470FD"/>
    <w:rsid w:val="00C51E7A"/>
    <w:rsid w:val="00C520C7"/>
    <w:rsid w:val="00C52E39"/>
    <w:rsid w:val="00C55D1D"/>
    <w:rsid w:val="00C57B56"/>
    <w:rsid w:val="00C6339C"/>
    <w:rsid w:val="00C63F7A"/>
    <w:rsid w:val="00C65BC4"/>
    <w:rsid w:val="00C668EC"/>
    <w:rsid w:val="00C72E13"/>
    <w:rsid w:val="00C85A39"/>
    <w:rsid w:val="00C87B02"/>
    <w:rsid w:val="00C90BD8"/>
    <w:rsid w:val="00C91D8A"/>
    <w:rsid w:val="00C964BC"/>
    <w:rsid w:val="00C97581"/>
    <w:rsid w:val="00CA39E1"/>
    <w:rsid w:val="00CA4FCA"/>
    <w:rsid w:val="00CB0EB2"/>
    <w:rsid w:val="00CB1C45"/>
    <w:rsid w:val="00CB2DC6"/>
    <w:rsid w:val="00CB49F5"/>
    <w:rsid w:val="00CB6922"/>
    <w:rsid w:val="00CC51E2"/>
    <w:rsid w:val="00CD6A8C"/>
    <w:rsid w:val="00CE01AC"/>
    <w:rsid w:val="00CE49AA"/>
    <w:rsid w:val="00CF135C"/>
    <w:rsid w:val="00CF177C"/>
    <w:rsid w:val="00D041B4"/>
    <w:rsid w:val="00D06B4C"/>
    <w:rsid w:val="00D109B8"/>
    <w:rsid w:val="00D15D0A"/>
    <w:rsid w:val="00D1787C"/>
    <w:rsid w:val="00D22E06"/>
    <w:rsid w:val="00D34A10"/>
    <w:rsid w:val="00D36F32"/>
    <w:rsid w:val="00D441AB"/>
    <w:rsid w:val="00D64100"/>
    <w:rsid w:val="00D64B87"/>
    <w:rsid w:val="00D77FA3"/>
    <w:rsid w:val="00D869E7"/>
    <w:rsid w:val="00D901C2"/>
    <w:rsid w:val="00D94E84"/>
    <w:rsid w:val="00DA0BDA"/>
    <w:rsid w:val="00DA4666"/>
    <w:rsid w:val="00DA4733"/>
    <w:rsid w:val="00DA57B9"/>
    <w:rsid w:val="00DA7929"/>
    <w:rsid w:val="00DB0231"/>
    <w:rsid w:val="00DB2102"/>
    <w:rsid w:val="00DB48A0"/>
    <w:rsid w:val="00DC39EF"/>
    <w:rsid w:val="00DD5F38"/>
    <w:rsid w:val="00DD66BA"/>
    <w:rsid w:val="00DD71FA"/>
    <w:rsid w:val="00DE6194"/>
    <w:rsid w:val="00DE7472"/>
    <w:rsid w:val="00DF1D84"/>
    <w:rsid w:val="00E002BE"/>
    <w:rsid w:val="00E06912"/>
    <w:rsid w:val="00E07DD9"/>
    <w:rsid w:val="00E12BE9"/>
    <w:rsid w:val="00E31687"/>
    <w:rsid w:val="00E32F37"/>
    <w:rsid w:val="00E33192"/>
    <w:rsid w:val="00E367A0"/>
    <w:rsid w:val="00E45CE9"/>
    <w:rsid w:val="00E51141"/>
    <w:rsid w:val="00E52B0F"/>
    <w:rsid w:val="00E54383"/>
    <w:rsid w:val="00E65F0D"/>
    <w:rsid w:val="00E7344F"/>
    <w:rsid w:val="00E74371"/>
    <w:rsid w:val="00E759F2"/>
    <w:rsid w:val="00E82062"/>
    <w:rsid w:val="00E97979"/>
    <w:rsid w:val="00EB1306"/>
    <w:rsid w:val="00EB7956"/>
    <w:rsid w:val="00EC52A8"/>
    <w:rsid w:val="00EC5960"/>
    <w:rsid w:val="00EC7642"/>
    <w:rsid w:val="00ED127F"/>
    <w:rsid w:val="00ED2BE4"/>
    <w:rsid w:val="00ED5750"/>
    <w:rsid w:val="00ED68DC"/>
    <w:rsid w:val="00EE2FBB"/>
    <w:rsid w:val="00EE4060"/>
    <w:rsid w:val="00EF05D3"/>
    <w:rsid w:val="00EF29CB"/>
    <w:rsid w:val="00EF35C9"/>
    <w:rsid w:val="00F01918"/>
    <w:rsid w:val="00F020D0"/>
    <w:rsid w:val="00F165B2"/>
    <w:rsid w:val="00F16E95"/>
    <w:rsid w:val="00F17FDB"/>
    <w:rsid w:val="00F20305"/>
    <w:rsid w:val="00F218AC"/>
    <w:rsid w:val="00F23474"/>
    <w:rsid w:val="00F276F8"/>
    <w:rsid w:val="00F3117A"/>
    <w:rsid w:val="00F32870"/>
    <w:rsid w:val="00F3332A"/>
    <w:rsid w:val="00F33AE9"/>
    <w:rsid w:val="00F405C0"/>
    <w:rsid w:val="00F432FD"/>
    <w:rsid w:val="00F434BB"/>
    <w:rsid w:val="00F4410F"/>
    <w:rsid w:val="00F53ADB"/>
    <w:rsid w:val="00F57BBB"/>
    <w:rsid w:val="00F65026"/>
    <w:rsid w:val="00F662D5"/>
    <w:rsid w:val="00F669C1"/>
    <w:rsid w:val="00F66CEC"/>
    <w:rsid w:val="00F70B90"/>
    <w:rsid w:val="00F737BB"/>
    <w:rsid w:val="00F86C42"/>
    <w:rsid w:val="00F90615"/>
    <w:rsid w:val="00F90745"/>
    <w:rsid w:val="00F970FE"/>
    <w:rsid w:val="00FA512B"/>
    <w:rsid w:val="00FA7034"/>
    <w:rsid w:val="00FB3B15"/>
    <w:rsid w:val="00FB40A1"/>
    <w:rsid w:val="00FB6FC2"/>
    <w:rsid w:val="00FB72D9"/>
    <w:rsid w:val="00FC5D5E"/>
    <w:rsid w:val="00FC6FB3"/>
    <w:rsid w:val="00FD0B48"/>
    <w:rsid w:val="00FD177C"/>
    <w:rsid w:val="00FD2398"/>
    <w:rsid w:val="00FD6E40"/>
    <w:rsid w:val="00FE0C85"/>
    <w:rsid w:val="00FE1324"/>
    <w:rsid w:val="00FE1B37"/>
    <w:rsid w:val="00FE2C13"/>
    <w:rsid w:val="00FE441B"/>
    <w:rsid w:val="00FE674F"/>
    <w:rsid w:val="00FE6DE4"/>
    <w:rsid w:val="00FE7F15"/>
    <w:rsid w:val="00FF51E6"/>
    <w:rsid w:val="00FF527E"/>
    <w:rsid w:val="00FF7DC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3DEE3A80"/>
  <w15:docId w15:val="{F0404BAA-4651-4C01-B0D3-19C9433AE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4">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0"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locked="1" w:uiPriority="0"/>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4"/>
    <w:lsdException w:name="Light Shading Accent 4" w:uiPriority="60"/>
    <w:lsdException w:name="Light List Accent 4" w:uiPriority="66"/>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62"/>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73"/>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68"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94404"/>
    <w:pPr>
      <w:spacing w:after="200" w:line="276" w:lineRule="auto"/>
    </w:pPr>
    <w:rPr>
      <w:sz w:val="22"/>
      <w:szCs w:val="22"/>
      <w:lang w:eastAsia="en-US"/>
    </w:rPr>
  </w:style>
  <w:style w:type="paragraph" w:styleId="Ttulo1">
    <w:name w:val="heading 1"/>
    <w:basedOn w:val="Normal"/>
    <w:next w:val="Normal"/>
    <w:link w:val="Ttulo1Car"/>
    <w:uiPriority w:val="9"/>
    <w:qFormat/>
    <w:locked/>
    <w:rsid w:val="00311CEC"/>
    <w:pPr>
      <w:keepNext/>
      <w:widowControl w:val="0"/>
      <w:suppressAutoHyphens/>
      <w:spacing w:before="240" w:after="60" w:line="240" w:lineRule="auto"/>
      <w:outlineLvl w:val="0"/>
    </w:pPr>
    <w:rPr>
      <w:rFonts w:ascii="Cambria" w:eastAsia="Times New Roman" w:hAnsi="Cambria" w:cs="Mangal"/>
      <w:b/>
      <w:bCs/>
      <w:color w:val="00000A"/>
      <w:kern w:val="32"/>
      <w:sz w:val="32"/>
      <w:szCs w:val="29"/>
      <w:lang w:val="x-none" w:eastAsia="zh-CN" w:bidi="hi-IN"/>
    </w:rPr>
  </w:style>
  <w:style w:type="paragraph" w:styleId="Ttulo2">
    <w:name w:val="heading 2"/>
    <w:basedOn w:val="Normal"/>
    <w:next w:val="Normal"/>
    <w:link w:val="Ttulo2Car"/>
    <w:uiPriority w:val="9"/>
    <w:unhideWhenUsed/>
    <w:qFormat/>
    <w:locked/>
    <w:rsid w:val="00311CEC"/>
    <w:pPr>
      <w:keepNext/>
      <w:widowControl w:val="0"/>
      <w:suppressAutoHyphens/>
      <w:spacing w:before="240" w:after="60" w:line="240" w:lineRule="auto"/>
      <w:outlineLvl w:val="1"/>
    </w:pPr>
    <w:rPr>
      <w:rFonts w:ascii="Cambria" w:eastAsia="Times New Roman" w:hAnsi="Cambria" w:cs="Mangal"/>
      <w:b/>
      <w:bCs/>
      <w:i/>
      <w:iCs/>
      <w:color w:val="00000A"/>
      <w:sz w:val="28"/>
      <w:szCs w:val="25"/>
      <w:lang w:val="x-none" w:eastAsia="zh-CN" w:bidi="hi-IN"/>
    </w:rPr>
  </w:style>
  <w:style w:type="paragraph" w:styleId="Ttulo3">
    <w:name w:val="heading 3"/>
    <w:basedOn w:val="Normal"/>
    <w:next w:val="Normal"/>
    <w:link w:val="Ttulo3Car"/>
    <w:uiPriority w:val="9"/>
    <w:unhideWhenUsed/>
    <w:qFormat/>
    <w:locked/>
    <w:rsid w:val="00311CEC"/>
    <w:pPr>
      <w:keepNext/>
      <w:widowControl w:val="0"/>
      <w:suppressAutoHyphens/>
      <w:spacing w:before="240" w:after="60" w:line="240" w:lineRule="auto"/>
      <w:outlineLvl w:val="2"/>
    </w:pPr>
    <w:rPr>
      <w:rFonts w:ascii="Cambria" w:eastAsia="Times New Roman" w:hAnsi="Cambria" w:cs="Mangal"/>
      <w:b/>
      <w:bCs/>
      <w:color w:val="00000A"/>
      <w:sz w:val="26"/>
      <w:szCs w:val="23"/>
      <w:lang w:val="x-none" w:eastAsia="zh-CN" w:bidi="hi-IN"/>
    </w:rPr>
  </w:style>
  <w:style w:type="paragraph" w:styleId="Ttulo4">
    <w:name w:val="heading 4"/>
    <w:basedOn w:val="Normal"/>
    <w:next w:val="Normal"/>
    <w:link w:val="Ttulo4Car"/>
    <w:uiPriority w:val="9"/>
    <w:unhideWhenUsed/>
    <w:qFormat/>
    <w:locked/>
    <w:rsid w:val="00311CEC"/>
    <w:pPr>
      <w:keepNext/>
      <w:widowControl w:val="0"/>
      <w:suppressAutoHyphens/>
      <w:spacing w:before="240" w:after="60" w:line="240" w:lineRule="auto"/>
      <w:outlineLvl w:val="3"/>
    </w:pPr>
    <w:rPr>
      <w:rFonts w:eastAsia="Times New Roman" w:cs="Mangal"/>
      <w:b/>
      <w:bCs/>
      <w:color w:val="00000A"/>
      <w:sz w:val="28"/>
      <w:szCs w:val="25"/>
      <w:lang w:val="x-none" w:eastAsia="zh-CN" w:bidi="hi-IN"/>
    </w:rPr>
  </w:style>
  <w:style w:type="paragraph" w:styleId="Ttulo5">
    <w:name w:val="heading 5"/>
    <w:basedOn w:val="Normal"/>
    <w:next w:val="Normal"/>
    <w:link w:val="Ttulo5Car"/>
    <w:uiPriority w:val="9"/>
    <w:unhideWhenUsed/>
    <w:qFormat/>
    <w:locked/>
    <w:rsid w:val="00311CEC"/>
    <w:pPr>
      <w:widowControl w:val="0"/>
      <w:suppressAutoHyphens/>
      <w:spacing w:before="240" w:after="60" w:line="240" w:lineRule="auto"/>
      <w:outlineLvl w:val="4"/>
    </w:pPr>
    <w:rPr>
      <w:rFonts w:eastAsia="Times New Roman" w:cs="Mangal"/>
      <w:b/>
      <w:bCs/>
      <w:i/>
      <w:iCs/>
      <w:color w:val="00000A"/>
      <w:sz w:val="26"/>
      <w:szCs w:val="23"/>
      <w:lang w:val="x-none" w:eastAsia="zh-CN" w:bidi="hi-IN"/>
    </w:rPr>
  </w:style>
  <w:style w:type="paragraph" w:styleId="Ttulo6">
    <w:name w:val="heading 6"/>
    <w:basedOn w:val="Normal"/>
    <w:next w:val="Normal"/>
    <w:link w:val="Ttulo6Car"/>
    <w:semiHidden/>
    <w:unhideWhenUsed/>
    <w:qFormat/>
    <w:locked/>
    <w:rsid w:val="002B0B09"/>
    <w:pPr>
      <w:keepNext/>
      <w:overflowPunct w:val="0"/>
      <w:autoSpaceDE w:val="0"/>
      <w:autoSpaceDN w:val="0"/>
      <w:adjustRightInd w:val="0"/>
      <w:spacing w:after="0" w:line="240" w:lineRule="auto"/>
      <w:ind w:left="1436" w:hanging="1152"/>
      <w:outlineLvl w:val="5"/>
    </w:pPr>
    <w:rPr>
      <w:rFonts w:ascii="Tahoma" w:eastAsia="Times New Roman" w:hAnsi="Tahoma"/>
      <w:sz w:val="24"/>
      <w:szCs w:val="20"/>
      <w:lang w:val="es-ES_tradnl"/>
    </w:rPr>
  </w:style>
  <w:style w:type="paragraph" w:styleId="Ttulo7">
    <w:name w:val="heading 7"/>
    <w:basedOn w:val="Normal"/>
    <w:next w:val="Normal"/>
    <w:link w:val="Ttulo7Car"/>
    <w:uiPriority w:val="99"/>
    <w:semiHidden/>
    <w:unhideWhenUsed/>
    <w:qFormat/>
    <w:locked/>
    <w:rsid w:val="002B0B09"/>
    <w:pPr>
      <w:keepNext/>
      <w:overflowPunct w:val="0"/>
      <w:autoSpaceDE w:val="0"/>
      <w:autoSpaceDN w:val="0"/>
      <w:adjustRightInd w:val="0"/>
      <w:spacing w:after="0" w:line="240" w:lineRule="auto"/>
      <w:ind w:left="1580" w:hanging="1296"/>
      <w:jc w:val="center"/>
      <w:outlineLvl w:val="6"/>
    </w:pPr>
    <w:rPr>
      <w:rFonts w:ascii="Arial" w:eastAsia="Times New Roman" w:hAnsi="Arial"/>
      <w:b/>
      <w:sz w:val="18"/>
      <w:szCs w:val="20"/>
      <w:lang w:val="es-ES_tradnl" w:eastAsia="es-ES"/>
    </w:rPr>
  </w:style>
  <w:style w:type="paragraph" w:styleId="Ttulo8">
    <w:name w:val="heading 8"/>
    <w:basedOn w:val="Normal"/>
    <w:next w:val="Normal"/>
    <w:link w:val="Ttulo8Car"/>
    <w:uiPriority w:val="99"/>
    <w:semiHidden/>
    <w:unhideWhenUsed/>
    <w:qFormat/>
    <w:locked/>
    <w:rsid w:val="00311CEC"/>
    <w:pPr>
      <w:widowControl w:val="0"/>
      <w:suppressAutoHyphens/>
      <w:spacing w:before="240" w:after="60" w:line="240" w:lineRule="auto"/>
      <w:outlineLvl w:val="7"/>
    </w:pPr>
    <w:rPr>
      <w:rFonts w:eastAsia="Times New Roman" w:cs="Mangal"/>
      <w:i/>
      <w:iCs/>
      <w:color w:val="00000A"/>
      <w:sz w:val="24"/>
      <w:szCs w:val="21"/>
      <w:lang w:val="x-none" w:eastAsia="zh-CN" w:bidi="hi-IN"/>
    </w:rPr>
  </w:style>
  <w:style w:type="paragraph" w:styleId="Ttulo9">
    <w:name w:val="heading 9"/>
    <w:basedOn w:val="Normal"/>
    <w:next w:val="Normal"/>
    <w:link w:val="Ttulo9Car"/>
    <w:uiPriority w:val="99"/>
    <w:semiHidden/>
    <w:unhideWhenUsed/>
    <w:qFormat/>
    <w:locked/>
    <w:rsid w:val="002B0B09"/>
    <w:pPr>
      <w:overflowPunct w:val="0"/>
      <w:autoSpaceDE w:val="0"/>
      <w:autoSpaceDN w:val="0"/>
      <w:adjustRightInd w:val="0"/>
      <w:spacing w:before="240" w:after="60" w:line="240" w:lineRule="auto"/>
      <w:ind w:left="1868" w:hanging="1584"/>
      <w:outlineLvl w:val="8"/>
    </w:pPr>
    <w:rPr>
      <w:rFonts w:ascii="Cambria" w:eastAsia="Times New Roman" w:hAnsi="Cambria"/>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DA0BDA"/>
    <w:pPr>
      <w:spacing w:after="0" w:line="240" w:lineRule="auto"/>
    </w:pPr>
    <w:rPr>
      <w:rFonts w:ascii="Tahoma" w:hAnsi="Tahoma"/>
      <w:sz w:val="16"/>
      <w:szCs w:val="16"/>
      <w:lang w:val="en-US" w:eastAsia="es-ES"/>
    </w:rPr>
  </w:style>
  <w:style w:type="character" w:customStyle="1" w:styleId="TextodegloboCar">
    <w:name w:val="Texto de globo Car"/>
    <w:link w:val="Textodeglobo"/>
    <w:uiPriority w:val="99"/>
    <w:semiHidden/>
    <w:locked/>
    <w:rsid w:val="00DA0BDA"/>
    <w:rPr>
      <w:rFonts w:ascii="Tahoma" w:hAnsi="Tahoma" w:cs="Times New Roman"/>
      <w:sz w:val="16"/>
    </w:rPr>
  </w:style>
  <w:style w:type="paragraph" w:styleId="Encabezado">
    <w:name w:val="header"/>
    <w:basedOn w:val="Normal"/>
    <w:link w:val="EncabezadoCar"/>
    <w:rsid w:val="000C58E8"/>
    <w:pPr>
      <w:tabs>
        <w:tab w:val="center" w:pos="4419"/>
        <w:tab w:val="right" w:pos="8838"/>
      </w:tabs>
      <w:spacing w:after="0" w:line="240" w:lineRule="auto"/>
    </w:pPr>
  </w:style>
  <w:style w:type="character" w:customStyle="1" w:styleId="EncabezadoCar">
    <w:name w:val="Encabezado Car"/>
    <w:link w:val="Encabezado"/>
    <w:locked/>
    <w:rsid w:val="000C58E8"/>
    <w:rPr>
      <w:rFonts w:cs="Times New Roman"/>
    </w:rPr>
  </w:style>
  <w:style w:type="paragraph" w:styleId="Piedepgina">
    <w:name w:val="footer"/>
    <w:basedOn w:val="Normal"/>
    <w:link w:val="PiedepginaCar"/>
    <w:uiPriority w:val="99"/>
    <w:rsid w:val="000C58E8"/>
    <w:pPr>
      <w:tabs>
        <w:tab w:val="center" w:pos="4419"/>
        <w:tab w:val="right" w:pos="8838"/>
      </w:tabs>
      <w:spacing w:after="0" w:line="240" w:lineRule="auto"/>
    </w:pPr>
  </w:style>
  <w:style w:type="character" w:customStyle="1" w:styleId="PiedepginaCar">
    <w:name w:val="Pie de página Car"/>
    <w:link w:val="Piedepgina"/>
    <w:uiPriority w:val="99"/>
    <w:locked/>
    <w:rsid w:val="000C58E8"/>
    <w:rPr>
      <w:rFonts w:cs="Times New Roman"/>
    </w:rPr>
  </w:style>
  <w:style w:type="paragraph" w:customStyle="1" w:styleId="Listavistosa-nfasis11">
    <w:name w:val="Lista vistosa - Énfasis 11"/>
    <w:basedOn w:val="Normal"/>
    <w:uiPriority w:val="34"/>
    <w:qFormat/>
    <w:rsid w:val="00CE01AC"/>
    <w:pPr>
      <w:ind w:left="720"/>
      <w:contextualSpacing/>
    </w:pPr>
  </w:style>
  <w:style w:type="character" w:styleId="Hipervnculo">
    <w:name w:val="Hyperlink"/>
    <w:uiPriority w:val="99"/>
    <w:rsid w:val="001B78D3"/>
    <w:rPr>
      <w:rFonts w:cs="Times New Roman"/>
      <w:color w:val="0000FF"/>
      <w:u w:val="single"/>
    </w:rPr>
  </w:style>
  <w:style w:type="character" w:styleId="Refdecomentario">
    <w:name w:val="annotation reference"/>
    <w:rsid w:val="0015130E"/>
    <w:rPr>
      <w:rFonts w:cs="Times New Roman"/>
      <w:sz w:val="16"/>
      <w:szCs w:val="16"/>
    </w:rPr>
  </w:style>
  <w:style w:type="paragraph" w:styleId="Textocomentario">
    <w:name w:val="annotation text"/>
    <w:basedOn w:val="Normal"/>
    <w:link w:val="TextocomentarioCar"/>
    <w:rsid w:val="0015130E"/>
    <w:pPr>
      <w:overflowPunct w:val="0"/>
      <w:autoSpaceDE w:val="0"/>
      <w:autoSpaceDN w:val="0"/>
      <w:adjustRightInd w:val="0"/>
      <w:spacing w:after="0" w:line="240" w:lineRule="auto"/>
      <w:textAlignment w:val="baseline"/>
    </w:pPr>
    <w:rPr>
      <w:rFonts w:ascii="Times New Roman" w:eastAsia="Times New Roman" w:hAnsi="Times New Roman"/>
      <w:sz w:val="20"/>
      <w:szCs w:val="20"/>
      <w:lang w:val="es-ES_tradnl" w:eastAsia="es-ES"/>
    </w:rPr>
  </w:style>
  <w:style w:type="character" w:customStyle="1" w:styleId="TextocomentarioCar">
    <w:name w:val="Texto comentario Car"/>
    <w:link w:val="Textocomentario"/>
    <w:locked/>
    <w:rsid w:val="0015130E"/>
    <w:rPr>
      <w:rFonts w:ascii="Times New Roman" w:hAnsi="Times New Roman" w:cs="Times New Roman"/>
      <w:lang w:val="es-ES_tradnl" w:eastAsia="es-ES"/>
    </w:rPr>
  </w:style>
  <w:style w:type="paragraph" w:styleId="Sinespaciado">
    <w:name w:val="No Spacing"/>
    <w:link w:val="SinespaciadoCar"/>
    <w:uiPriority w:val="1"/>
    <w:qFormat/>
    <w:rsid w:val="0015130E"/>
    <w:rPr>
      <w:sz w:val="22"/>
      <w:szCs w:val="22"/>
      <w:lang w:eastAsia="en-US"/>
    </w:rPr>
  </w:style>
  <w:style w:type="paragraph" w:styleId="Prrafodelista">
    <w:name w:val="List Paragraph"/>
    <w:aliases w:val="Ha,Resume Title,HOJA,Colorful List Accent 1,Colorful List - Accent 11,Párrafo de lista (analisis predial),Colorful List - Accent 111,LISTA,List Paragraph,Párrafo de lista1,Párrafo de lista2,Párrafo de lista11"/>
    <w:basedOn w:val="Normal"/>
    <w:link w:val="PrrafodelistaCar"/>
    <w:uiPriority w:val="72"/>
    <w:qFormat/>
    <w:rsid w:val="007375DE"/>
    <w:pPr>
      <w:ind w:left="720"/>
      <w:contextualSpacing/>
    </w:pPr>
  </w:style>
  <w:style w:type="table" w:styleId="Tablaconcuadrcula">
    <w:name w:val="Table Grid"/>
    <w:basedOn w:val="Tablanormal"/>
    <w:uiPriority w:val="59"/>
    <w:locked/>
    <w:rsid w:val="007375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800E8"/>
    <w:pPr>
      <w:autoSpaceDE w:val="0"/>
      <w:autoSpaceDN w:val="0"/>
      <w:adjustRightInd w:val="0"/>
    </w:pPr>
    <w:rPr>
      <w:rFonts w:ascii="Arial" w:hAnsi="Arial" w:cs="Arial"/>
      <w:color w:val="000000"/>
      <w:sz w:val="24"/>
      <w:szCs w:val="24"/>
      <w:lang w:val="es-ES"/>
    </w:rPr>
  </w:style>
  <w:style w:type="character" w:customStyle="1" w:styleId="CharacterStyle15">
    <w:name w:val="Character Style 15"/>
    <w:uiPriority w:val="99"/>
    <w:rsid w:val="008F41FC"/>
    <w:rPr>
      <w:sz w:val="20"/>
      <w:szCs w:val="20"/>
    </w:rPr>
  </w:style>
  <w:style w:type="paragraph" w:customStyle="1" w:styleId="Style8">
    <w:name w:val="Style 8"/>
    <w:basedOn w:val="Normal"/>
    <w:uiPriority w:val="99"/>
    <w:rsid w:val="008F41FC"/>
    <w:pPr>
      <w:widowControl w:val="0"/>
      <w:autoSpaceDE w:val="0"/>
      <w:autoSpaceDN w:val="0"/>
      <w:spacing w:after="0" w:line="240" w:lineRule="auto"/>
      <w:ind w:left="108"/>
      <w:jc w:val="both"/>
    </w:pPr>
    <w:rPr>
      <w:rFonts w:ascii="Arial" w:eastAsia="Times New Roman" w:hAnsi="Arial" w:cs="Arial"/>
      <w:bCs/>
      <w:spacing w:val="7"/>
      <w:sz w:val="16"/>
      <w:szCs w:val="16"/>
      <w:lang w:val="en-US" w:eastAsia="es-ES"/>
    </w:rPr>
  </w:style>
  <w:style w:type="paragraph" w:styleId="Subttulo">
    <w:name w:val="Subtitle"/>
    <w:aliases w:val="TITULO 2"/>
    <w:basedOn w:val="Prrafodelista"/>
    <w:next w:val="Normal"/>
    <w:link w:val="SubttuloCar"/>
    <w:uiPriority w:val="11"/>
    <w:qFormat/>
    <w:locked/>
    <w:rsid w:val="008F41FC"/>
    <w:pPr>
      <w:spacing w:line="240" w:lineRule="auto"/>
      <w:ind w:left="0"/>
      <w:jc w:val="both"/>
    </w:pPr>
    <w:rPr>
      <w:rFonts w:ascii="Arial" w:eastAsiaTheme="minorHAnsi" w:hAnsi="Arial" w:cs="Arial"/>
      <w:b/>
      <w:bCs/>
      <w:color w:val="365F91" w:themeColor="accent1" w:themeShade="BF"/>
      <w:spacing w:val="7"/>
      <w:sz w:val="24"/>
      <w:szCs w:val="24"/>
      <w:lang w:val="es-ES"/>
    </w:rPr>
  </w:style>
  <w:style w:type="character" w:customStyle="1" w:styleId="SubttuloCar">
    <w:name w:val="Subtítulo Car"/>
    <w:aliases w:val="TITULO 2 Car"/>
    <w:basedOn w:val="Fuentedeprrafopredeter"/>
    <w:link w:val="Subttulo"/>
    <w:uiPriority w:val="11"/>
    <w:rsid w:val="008F41FC"/>
    <w:rPr>
      <w:rFonts w:ascii="Arial" w:eastAsiaTheme="minorHAnsi" w:hAnsi="Arial" w:cs="Arial"/>
      <w:b/>
      <w:bCs/>
      <w:color w:val="365F91" w:themeColor="accent1" w:themeShade="BF"/>
      <w:spacing w:val="7"/>
      <w:sz w:val="24"/>
      <w:szCs w:val="24"/>
      <w:lang w:val="es-ES" w:eastAsia="en-US"/>
    </w:rPr>
  </w:style>
  <w:style w:type="character" w:customStyle="1" w:styleId="Mencionar1">
    <w:name w:val="Mencionar1"/>
    <w:basedOn w:val="Fuentedeprrafopredeter"/>
    <w:uiPriority w:val="99"/>
    <w:semiHidden/>
    <w:unhideWhenUsed/>
    <w:rsid w:val="00450674"/>
    <w:rPr>
      <w:color w:val="2B579A"/>
      <w:shd w:val="clear" w:color="auto" w:fill="E6E6E6"/>
    </w:rPr>
  </w:style>
  <w:style w:type="character" w:customStyle="1" w:styleId="Mencionar2">
    <w:name w:val="Mencionar2"/>
    <w:basedOn w:val="Fuentedeprrafopredeter"/>
    <w:uiPriority w:val="99"/>
    <w:semiHidden/>
    <w:unhideWhenUsed/>
    <w:rsid w:val="00FF527E"/>
    <w:rPr>
      <w:color w:val="2B579A"/>
      <w:shd w:val="clear" w:color="auto" w:fill="E6E6E6"/>
    </w:rPr>
  </w:style>
  <w:style w:type="character" w:customStyle="1" w:styleId="PrrafodelistaCar">
    <w:name w:val="Párrafo de lista Car"/>
    <w:aliases w:val="Ha Car,Resume Title Car,HOJA Car,Colorful List Accent 1 Car,Colorful List - Accent 11 Car,Párrafo de lista (analisis predial) Car,Colorful List - Accent 111 Car,LISTA Car,List Paragraph Car,Párrafo de lista1 Car"/>
    <w:link w:val="Prrafodelista"/>
    <w:uiPriority w:val="72"/>
    <w:locked/>
    <w:rsid w:val="00AE0C9B"/>
    <w:rPr>
      <w:sz w:val="22"/>
      <w:szCs w:val="22"/>
      <w:lang w:eastAsia="en-US"/>
    </w:rPr>
  </w:style>
  <w:style w:type="character" w:customStyle="1" w:styleId="Ttulo1Car">
    <w:name w:val="Título 1 Car"/>
    <w:basedOn w:val="Fuentedeprrafopredeter"/>
    <w:link w:val="Ttulo1"/>
    <w:uiPriority w:val="9"/>
    <w:rsid w:val="00311CEC"/>
    <w:rPr>
      <w:rFonts w:ascii="Cambria" w:eastAsia="Times New Roman" w:hAnsi="Cambria" w:cs="Mangal"/>
      <w:b/>
      <w:bCs/>
      <w:color w:val="00000A"/>
      <w:kern w:val="32"/>
      <w:sz w:val="32"/>
      <w:szCs w:val="29"/>
      <w:lang w:val="x-none" w:eastAsia="zh-CN" w:bidi="hi-IN"/>
    </w:rPr>
  </w:style>
  <w:style w:type="character" w:customStyle="1" w:styleId="Ttulo2Car">
    <w:name w:val="Título 2 Car"/>
    <w:basedOn w:val="Fuentedeprrafopredeter"/>
    <w:link w:val="Ttulo2"/>
    <w:uiPriority w:val="9"/>
    <w:rsid w:val="00311CEC"/>
    <w:rPr>
      <w:rFonts w:ascii="Cambria" w:eastAsia="Times New Roman" w:hAnsi="Cambria" w:cs="Mangal"/>
      <w:b/>
      <w:bCs/>
      <w:i/>
      <w:iCs/>
      <w:color w:val="00000A"/>
      <w:sz w:val="28"/>
      <w:szCs w:val="25"/>
      <w:lang w:val="x-none" w:eastAsia="zh-CN" w:bidi="hi-IN"/>
    </w:rPr>
  </w:style>
  <w:style w:type="character" w:customStyle="1" w:styleId="Ttulo3Car">
    <w:name w:val="Título 3 Car"/>
    <w:basedOn w:val="Fuentedeprrafopredeter"/>
    <w:link w:val="Ttulo3"/>
    <w:uiPriority w:val="9"/>
    <w:rsid w:val="00311CEC"/>
    <w:rPr>
      <w:rFonts w:ascii="Cambria" w:eastAsia="Times New Roman" w:hAnsi="Cambria" w:cs="Mangal"/>
      <w:b/>
      <w:bCs/>
      <w:color w:val="00000A"/>
      <w:sz w:val="26"/>
      <w:szCs w:val="23"/>
      <w:lang w:val="x-none" w:eastAsia="zh-CN" w:bidi="hi-IN"/>
    </w:rPr>
  </w:style>
  <w:style w:type="character" w:customStyle="1" w:styleId="Ttulo4Car">
    <w:name w:val="Título 4 Car"/>
    <w:basedOn w:val="Fuentedeprrafopredeter"/>
    <w:link w:val="Ttulo4"/>
    <w:uiPriority w:val="9"/>
    <w:rsid w:val="00311CEC"/>
    <w:rPr>
      <w:rFonts w:eastAsia="Times New Roman" w:cs="Mangal"/>
      <w:b/>
      <w:bCs/>
      <w:color w:val="00000A"/>
      <w:sz w:val="28"/>
      <w:szCs w:val="25"/>
      <w:lang w:val="x-none" w:eastAsia="zh-CN" w:bidi="hi-IN"/>
    </w:rPr>
  </w:style>
  <w:style w:type="character" w:customStyle="1" w:styleId="Ttulo5Car">
    <w:name w:val="Título 5 Car"/>
    <w:basedOn w:val="Fuentedeprrafopredeter"/>
    <w:link w:val="Ttulo5"/>
    <w:uiPriority w:val="9"/>
    <w:rsid w:val="00311CEC"/>
    <w:rPr>
      <w:rFonts w:eastAsia="Times New Roman" w:cs="Mangal"/>
      <w:b/>
      <w:bCs/>
      <w:i/>
      <w:iCs/>
      <w:color w:val="00000A"/>
      <w:sz w:val="26"/>
      <w:szCs w:val="23"/>
      <w:lang w:val="x-none" w:eastAsia="zh-CN" w:bidi="hi-IN"/>
    </w:rPr>
  </w:style>
  <w:style w:type="character" w:customStyle="1" w:styleId="Ttulo8Car">
    <w:name w:val="Título 8 Car"/>
    <w:basedOn w:val="Fuentedeprrafopredeter"/>
    <w:link w:val="Ttulo8"/>
    <w:uiPriority w:val="99"/>
    <w:semiHidden/>
    <w:rsid w:val="00311CEC"/>
    <w:rPr>
      <w:rFonts w:eastAsia="Times New Roman" w:cs="Mangal"/>
      <w:i/>
      <w:iCs/>
      <w:color w:val="00000A"/>
      <w:sz w:val="24"/>
      <w:szCs w:val="21"/>
      <w:lang w:val="x-none" w:eastAsia="zh-CN" w:bidi="hi-IN"/>
    </w:rPr>
  </w:style>
  <w:style w:type="paragraph" w:customStyle="1" w:styleId="Encabezamiento">
    <w:name w:val="Encabezamiento"/>
    <w:basedOn w:val="Normal"/>
    <w:rsid w:val="00311CEC"/>
    <w:pPr>
      <w:widowControl w:val="0"/>
      <w:suppressAutoHyphens/>
      <w:spacing w:after="0" w:line="240" w:lineRule="auto"/>
    </w:pPr>
    <w:rPr>
      <w:rFonts w:ascii="Liberation Serif" w:eastAsia="SimSun" w:hAnsi="Liberation Serif" w:cs="Mangal"/>
      <w:color w:val="00000A"/>
      <w:sz w:val="24"/>
      <w:szCs w:val="24"/>
      <w:lang w:eastAsia="zh-CN" w:bidi="hi-IN"/>
    </w:rPr>
  </w:style>
  <w:style w:type="character" w:customStyle="1" w:styleId="apple-converted-space">
    <w:name w:val="apple-converted-space"/>
    <w:basedOn w:val="Fuentedeprrafopredeter"/>
    <w:rsid w:val="00311CEC"/>
  </w:style>
  <w:style w:type="table" w:styleId="Sombreadoclaro">
    <w:name w:val="Light Shading"/>
    <w:basedOn w:val="Tablanormal"/>
    <w:uiPriority w:val="60"/>
    <w:rsid w:val="00311CEC"/>
    <w:rPr>
      <w:color w:val="000000"/>
      <w:lang w:val="es-ES" w:eastAsia="es-E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Cuadrculavistosa-nfasis3">
    <w:name w:val="Colorful Grid Accent 3"/>
    <w:basedOn w:val="Tablanormal"/>
    <w:uiPriority w:val="64"/>
    <w:rsid w:val="00311CEC"/>
    <w:rPr>
      <w:lang w:val="es-ES"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clara-nfasis4">
    <w:name w:val="Light List Accent 4"/>
    <w:basedOn w:val="Tablanormal"/>
    <w:uiPriority w:val="66"/>
    <w:rsid w:val="00311CEC"/>
    <w:rPr>
      <w:rFonts w:ascii="Cambria" w:eastAsia="Times New Roman" w:hAnsi="Cambria"/>
      <w:color w:val="000000"/>
      <w:lang w:val="es-ES" w:eastAsia="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Sombreadovistoso-nfasis4">
    <w:name w:val="Colorful Shading Accent 4"/>
    <w:basedOn w:val="Tablanormal"/>
    <w:uiPriority w:val="62"/>
    <w:rsid w:val="00311CEC"/>
    <w:rPr>
      <w:lang w:val="es-ES" w:eastAsia="es-E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Wingdings" w:eastAsia="Times New Roman" w:hAnsi="Wingdings"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ingdings" w:eastAsia="Times New Roman" w:hAnsi="Wingding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uadrculamedia2-nfasis6">
    <w:name w:val="Medium Grid 2 Accent 6"/>
    <w:basedOn w:val="Tablanormal"/>
    <w:uiPriority w:val="73"/>
    <w:rsid w:val="00311CEC"/>
    <w:rPr>
      <w:color w:val="000000"/>
      <w:lang w:val="es-ES" w:eastAsia="es-E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character" w:styleId="Textoennegrita">
    <w:name w:val="Strong"/>
    <w:uiPriority w:val="22"/>
    <w:qFormat/>
    <w:locked/>
    <w:rsid w:val="00311CEC"/>
    <w:rPr>
      <w:b/>
      <w:bCs/>
    </w:rPr>
  </w:style>
  <w:style w:type="paragraph" w:styleId="NormalWeb">
    <w:name w:val="Normal (Web)"/>
    <w:basedOn w:val="Normal"/>
    <w:uiPriority w:val="99"/>
    <w:rsid w:val="00311CEC"/>
    <w:pPr>
      <w:overflowPunct w:val="0"/>
      <w:autoSpaceDE w:val="0"/>
      <w:autoSpaceDN w:val="0"/>
      <w:adjustRightInd w:val="0"/>
      <w:spacing w:before="100" w:after="100" w:line="240" w:lineRule="auto"/>
      <w:textAlignment w:val="baseline"/>
    </w:pPr>
    <w:rPr>
      <w:rFonts w:ascii="Times New Roman" w:eastAsia="Times New Roman" w:hAnsi="Times New Roman"/>
      <w:sz w:val="24"/>
      <w:szCs w:val="20"/>
      <w:lang w:val="es-ES" w:eastAsia="es-ES"/>
    </w:rPr>
  </w:style>
  <w:style w:type="paragraph" w:customStyle="1" w:styleId="Listavistosa-nfasis12">
    <w:name w:val="Lista vistosa - Énfasis 12"/>
    <w:basedOn w:val="Normal"/>
    <w:link w:val="Listavistosa-nfasis1Car"/>
    <w:uiPriority w:val="34"/>
    <w:qFormat/>
    <w:rsid w:val="00311CEC"/>
    <w:pPr>
      <w:spacing w:after="0" w:line="240" w:lineRule="auto"/>
      <w:ind w:left="708"/>
    </w:pPr>
    <w:rPr>
      <w:rFonts w:ascii="Times New Roman" w:eastAsia="Times New Roman" w:hAnsi="Times New Roman"/>
      <w:sz w:val="24"/>
      <w:szCs w:val="24"/>
      <w:lang w:val="es-ES" w:eastAsia="es-ES"/>
    </w:rPr>
  </w:style>
  <w:style w:type="character" w:customStyle="1" w:styleId="Listavistosa-nfasis1Car">
    <w:name w:val="Lista vistosa - Énfasis 1 Car"/>
    <w:link w:val="Listavistosa-nfasis12"/>
    <w:uiPriority w:val="34"/>
    <w:rsid w:val="00311CEC"/>
    <w:rPr>
      <w:rFonts w:ascii="Times New Roman" w:eastAsia="Times New Roman" w:hAnsi="Times New Roman"/>
      <w:sz w:val="24"/>
      <w:szCs w:val="24"/>
      <w:lang w:val="es-ES" w:eastAsia="es-ES"/>
    </w:rPr>
  </w:style>
  <w:style w:type="paragraph" w:styleId="Textonotapie">
    <w:name w:val="footnote text"/>
    <w:aliases w:val="ft, Car Car Car, Car,Texto nota pie Car Car Car Car Car Car,Texto nota pie Car Car Car Car Car,Texto nota pie 1,Car1,Texto nota pie Car Car Car Car Car Car Car Car,Texto nota pie Car Car Car Car,notaalpie Car,ft1,Car,C, 1,Car Car Car,1"/>
    <w:basedOn w:val="Normal"/>
    <w:link w:val="TextonotapieCar"/>
    <w:uiPriority w:val="99"/>
    <w:qFormat/>
    <w:rsid w:val="00311CEC"/>
    <w:pPr>
      <w:spacing w:after="0" w:line="240" w:lineRule="auto"/>
      <w:jc w:val="both"/>
    </w:pPr>
    <w:rPr>
      <w:rFonts w:ascii="Arial" w:eastAsia="Times New Roman" w:hAnsi="Arial"/>
      <w:sz w:val="20"/>
      <w:szCs w:val="20"/>
      <w:lang w:val="x-none" w:eastAsia="es-ES"/>
    </w:rPr>
  </w:style>
  <w:style w:type="character" w:customStyle="1" w:styleId="TextonotapieCar">
    <w:name w:val="Texto nota pie Car"/>
    <w:aliases w:val="ft Car, Car Car Car Car, Car Car,Texto nota pie Car Car Car Car Car Car Car,Texto nota pie Car Car Car Car Car Car1,Texto nota pie 1 Car,Car1 Car,Texto nota pie Car Car Car Car Car Car Car Car Car,Texto nota pie Car Car Car Car Car1"/>
    <w:basedOn w:val="Fuentedeprrafopredeter"/>
    <w:link w:val="Textonotapie"/>
    <w:uiPriority w:val="99"/>
    <w:rsid w:val="00311CEC"/>
    <w:rPr>
      <w:rFonts w:ascii="Arial" w:eastAsia="Times New Roman" w:hAnsi="Arial"/>
      <w:lang w:val="x-none" w:eastAsia="es-ES"/>
    </w:rPr>
  </w:style>
  <w:style w:type="character" w:styleId="Refdenotaalpie">
    <w:name w:val="footnote reference"/>
    <w:aliases w:val="Ref,de nota al pie,Nota de pie,Ref. de nota al pie2,Massilia Footnote Reference,Nota al pie info 1"/>
    <w:uiPriority w:val="99"/>
    <w:rsid w:val="00311CEC"/>
    <w:rPr>
      <w:vertAlign w:val="superscript"/>
    </w:rPr>
  </w:style>
  <w:style w:type="paragraph" w:customStyle="1" w:styleId="Pa21">
    <w:name w:val="Pa2+1"/>
    <w:basedOn w:val="Normal"/>
    <w:next w:val="Normal"/>
    <w:uiPriority w:val="99"/>
    <w:rsid w:val="00311CEC"/>
    <w:pPr>
      <w:autoSpaceDE w:val="0"/>
      <w:autoSpaceDN w:val="0"/>
      <w:adjustRightInd w:val="0"/>
      <w:spacing w:after="0" w:line="221" w:lineRule="atLeast"/>
    </w:pPr>
    <w:rPr>
      <w:rFonts w:ascii="Arial" w:hAnsi="Arial" w:cs="Arial"/>
      <w:sz w:val="24"/>
      <w:szCs w:val="24"/>
    </w:rPr>
  </w:style>
  <w:style w:type="paragraph" w:customStyle="1" w:styleId="Estilo3">
    <w:name w:val="Estilo3"/>
    <w:basedOn w:val="Listavistosa-nfasis12"/>
    <w:link w:val="Estilo3Car"/>
    <w:qFormat/>
    <w:rsid w:val="00311CEC"/>
    <w:pPr>
      <w:spacing w:after="200" w:line="276" w:lineRule="auto"/>
      <w:ind w:left="0"/>
      <w:contextualSpacing/>
      <w:jc w:val="both"/>
    </w:pPr>
    <w:rPr>
      <w:rFonts w:ascii="Arial" w:hAnsi="Arial"/>
      <w:b/>
      <w:lang w:val="x-none" w:eastAsia="x-none"/>
    </w:rPr>
  </w:style>
  <w:style w:type="character" w:customStyle="1" w:styleId="Estilo3Car">
    <w:name w:val="Estilo3 Car"/>
    <w:link w:val="Estilo3"/>
    <w:rsid w:val="00311CEC"/>
    <w:rPr>
      <w:rFonts w:ascii="Arial" w:eastAsia="Times New Roman" w:hAnsi="Arial"/>
      <w:b/>
      <w:sz w:val="24"/>
      <w:szCs w:val="24"/>
      <w:lang w:val="x-none" w:eastAsia="x-none"/>
    </w:rPr>
  </w:style>
  <w:style w:type="character" w:customStyle="1" w:styleId="SinespaciadoCar">
    <w:name w:val="Sin espaciado Car"/>
    <w:link w:val="Sinespaciado"/>
    <w:uiPriority w:val="1"/>
    <w:rsid w:val="00311CEC"/>
    <w:rPr>
      <w:sz w:val="22"/>
      <w:szCs w:val="22"/>
      <w:lang w:eastAsia="en-US"/>
    </w:rPr>
  </w:style>
  <w:style w:type="paragraph" w:styleId="TDC1">
    <w:name w:val="toc 1"/>
    <w:basedOn w:val="Normal"/>
    <w:next w:val="Normal"/>
    <w:autoRedefine/>
    <w:uiPriority w:val="39"/>
    <w:unhideWhenUsed/>
    <w:locked/>
    <w:rsid w:val="00311CEC"/>
    <w:pPr>
      <w:widowControl w:val="0"/>
      <w:suppressAutoHyphens/>
      <w:spacing w:after="0" w:line="240" w:lineRule="auto"/>
      <w:ind w:right="-376"/>
    </w:pPr>
    <w:rPr>
      <w:rFonts w:ascii="Arial" w:eastAsia="SimSun" w:hAnsi="Arial" w:cs="Arial"/>
      <w:noProof/>
      <w:color w:val="00000A"/>
      <w:sz w:val="18"/>
      <w:szCs w:val="18"/>
      <w:lang w:eastAsia="zh-CN" w:bidi="hi-IN"/>
    </w:rPr>
  </w:style>
  <w:style w:type="paragraph" w:styleId="TDC2">
    <w:name w:val="toc 2"/>
    <w:basedOn w:val="Normal"/>
    <w:next w:val="Normal"/>
    <w:autoRedefine/>
    <w:uiPriority w:val="39"/>
    <w:unhideWhenUsed/>
    <w:locked/>
    <w:rsid w:val="00311CEC"/>
    <w:pPr>
      <w:widowControl w:val="0"/>
      <w:tabs>
        <w:tab w:val="left" w:pos="660"/>
        <w:tab w:val="right" w:leader="dot" w:pos="9214"/>
      </w:tabs>
      <w:suppressAutoHyphens/>
      <w:spacing w:after="0" w:line="240" w:lineRule="auto"/>
      <w:ind w:left="567" w:hanging="283"/>
    </w:pPr>
    <w:rPr>
      <w:rFonts w:ascii="Liberation Serif" w:eastAsia="SimSun" w:hAnsi="Liberation Serif" w:cs="Mangal"/>
      <w:color w:val="00000A"/>
      <w:sz w:val="24"/>
      <w:szCs w:val="21"/>
      <w:lang w:eastAsia="zh-CN" w:bidi="hi-IN"/>
    </w:rPr>
  </w:style>
  <w:style w:type="paragraph" w:styleId="TDC3">
    <w:name w:val="toc 3"/>
    <w:basedOn w:val="Normal"/>
    <w:next w:val="Normal"/>
    <w:autoRedefine/>
    <w:uiPriority w:val="39"/>
    <w:unhideWhenUsed/>
    <w:locked/>
    <w:rsid w:val="00311CEC"/>
    <w:pPr>
      <w:widowControl w:val="0"/>
      <w:tabs>
        <w:tab w:val="left" w:pos="426"/>
        <w:tab w:val="right" w:leader="dot" w:pos="8828"/>
      </w:tabs>
      <w:suppressAutoHyphens/>
      <w:spacing w:after="0" w:line="240" w:lineRule="auto"/>
    </w:pPr>
    <w:rPr>
      <w:rFonts w:ascii="Liberation Serif" w:eastAsia="SimSun" w:hAnsi="Liberation Serif" w:cs="Mangal"/>
      <w:color w:val="00000A"/>
      <w:sz w:val="24"/>
      <w:szCs w:val="21"/>
      <w:lang w:eastAsia="zh-CN" w:bidi="hi-IN"/>
    </w:rPr>
  </w:style>
  <w:style w:type="paragraph" w:customStyle="1" w:styleId="Estilo2">
    <w:name w:val="Estilo2"/>
    <w:basedOn w:val="NormalWeb"/>
    <w:link w:val="Estilo2Car"/>
    <w:qFormat/>
    <w:rsid w:val="00311CEC"/>
    <w:pPr>
      <w:overflowPunct/>
      <w:autoSpaceDE/>
      <w:autoSpaceDN/>
      <w:adjustRightInd/>
      <w:spacing w:beforeAutospacing="1" w:afterAutospacing="1"/>
      <w:jc w:val="both"/>
      <w:textAlignment w:val="auto"/>
    </w:pPr>
    <w:rPr>
      <w:rFonts w:ascii="Arial" w:hAnsi="Arial"/>
      <w:b/>
      <w:szCs w:val="24"/>
      <w:lang w:val="x-none" w:eastAsia="x-none"/>
    </w:rPr>
  </w:style>
  <w:style w:type="character" w:customStyle="1" w:styleId="Estilo2Car">
    <w:name w:val="Estilo2 Car"/>
    <w:link w:val="Estilo2"/>
    <w:rsid w:val="00311CEC"/>
    <w:rPr>
      <w:rFonts w:ascii="Arial" w:eastAsia="Times New Roman" w:hAnsi="Arial"/>
      <w:b/>
      <w:sz w:val="24"/>
      <w:szCs w:val="24"/>
      <w:lang w:val="x-none" w:eastAsia="x-none"/>
    </w:rPr>
  </w:style>
  <w:style w:type="paragraph" w:customStyle="1" w:styleId="Estilo4">
    <w:name w:val="Estilo4"/>
    <w:basedOn w:val="Estilo2"/>
    <w:link w:val="Estilo4Car"/>
    <w:qFormat/>
    <w:rsid w:val="00311CEC"/>
  </w:style>
  <w:style w:type="character" w:customStyle="1" w:styleId="Estilo4Car">
    <w:name w:val="Estilo4 Car"/>
    <w:link w:val="Estilo4"/>
    <w:rsid w:val="00311CEC"/>
    <w:rPr>
      <w:rFonts w:ascii="Arial" w:eastAsia="Times New Roman" w:hAnsi="Arial"/>
      <w:b/>
      <w:sz w:val="24"/>
      <w:szCs w:val="24"/>
      <w:lang w:val="x-none" w:eastAsia="x-none"/>
    </w:rPr>
  </w:style>
  <w:style w:type="paragraph" w:customStyle="1" w:styleId="Normal1">
    <w:name w:val="Normal1"/>
    <w:basedOn w:val="Normal"/>
    <w:autoRedefine/>
    <w:rsid w:val="00311CEC"/>
    <w:pPr>
      <w:spacing w:after="0"/>
      <w:jc w:val="both"/>
    </w:pPr>
    <w:rPr>
      <w:rFonts w:ascii="Arial" w:eastAsia="Times New Roman" w:hAnsi="Arial" w:cs="Arial"/>
      <w:bCs/>
      <w:color w:val="000000"/>
      <w:lang w:val="es-ES" w:eastAsia="es-ES"/>
    </w:rPr>
  </w:style>
  <w:style w:type="paragraph" w:customStyle="1" w:styleId="Normal3">
    <w:name w:val="Normal3"/>
    <w:basedOn w:val="Normal"/>
    <w:autoRedefine/>
    <w:rsid w:val="00311CEC"/>
    <w:pPr>
      <w:spacing w:after="0" w:line="240" w:lineRule="auto"/>
      <w:ind w:rightChars="100" w:right="195"/>
      <w:jc w:val="both"/>
    </w:pPr>
    <w:rPr>
      <w:rFonts w:ascii="Arial" w:eastAsia="Times New Roman" w:hAnsi="Arial" w:cs="Arial"/>
      <w:lang w:eastAsia="es-ES"/>
    </w:rPr>
  </w:style>
  <w:style w:type="paragraph" w:styleId="Saludo">
    <w:name w:val="Salutation"/>
    <w:basedOn w:val="Normal"/>
    <w:next w:val="Normal"/>
    <w:link w:val="SaludoCar"/>
    <w:uiPriority w:val="99"/>
    <w:unhideWhenUsed/>
    <w:rsid w:val="00311CEC"/>
    <w:pPr>
      <w:widowControl w:val="0"/>
      <w:suppressAutoHyphens/>
      <w:spacing w:after="0" w:line="240" w:lineRule="auto"/>
    </w:pPr>
    <w:rPr>
      <w:rFonts w:ascii="Liberation Serif" w:eastAsia="SimSun" w:hAnsi="Liberation Serif" w:cs="Mangal"/>
      <w:color w:val="00000A"/>
      <w:sz w:val="24"/>
      <w:szCs w:val="21"/>
      <w:lang w:eastAsia="zh-CN" w:bidi="hi-IN"/>
    </w:rPr>
  </w:style>
  <w:style w:type="character" w:customStyle="1" w:styleId="SaludoCar">
    <w:name w:val="Saludo Car"/>
    <w:basedOn w:val="Fuentedeprrafopredeter"/>
    <w:link w:val="Saludo"/>
    <w:uiPriority w:val="99"/>
    <w:rsid w:val="00311CEC"/>
    <w:rPr>
      <w:rFonts w:ascii="Liberation Serif" w:eastAsia="SimSun" w:hAnsi="Liberation Serif" w:cs="Mangal"/>
      <w:color w:val="00000A"/>
      <w:sz w:val="24"/>
      <w:szCs w:val="21"/>
      <w:lang w:eastAsia="zh-CN" w:bidi="hi-IN"/>
    </w:rPr>
  </w:style>
  <w:style w:type="paragraph" w:styleId="Cierre">
    <w:name w:val="Closing"/>
    <w:basedOn w:val="Normal"/>
    <w:link w:val="CierreCar"/>
    <w:uiPriority w:val="99"/>
    <w:unhideWhenUsed/>
    <w:rsid w:val="00311CEC"/>
    <w:pPr>
      <w:widowControl w:val="0"/>
      <w:suppressAutoHyphens/>
      <w:spacing w:after="0" w:line="240" w:lineRule="auto"/>
      <w:ind w:left="4252"/>
    </w:pPr>
    <w:rPr>
      <w:rFonts w:ascii="Liberation Serif" w:eastAsia="SimSun" w:hAnsi="Liberation Serif" w:cs="Mangal"/>
      <w:color w:val="00000A"/>
      <w:sz w:val="24"/>
      <w:szCs w:val="21"/>
      <w:lang w:eastAsia="zh-CN" w:bidi="hi-IN"/>
    </w:rPr>
  </w:style>
  <w:style w:type="character" w:customStyle="1" w:styleId="CierreCar">
    <w:name w:val="Cierre Car"/>
    <w:basedOn w:val="Fuentedeprrafopredeter"/>
    <w:link w:val="Cierre"/>
    <w:uiPriority w:val="99"/>
    <w:rsid w:val="00311CEC"/>
    <w:rPr>
      <w:rFonts w:ascii="Liberation Serif" w:eastAsia="SimSun" w:hAnsi="Liberation Serif" w:cs="Mangal"/>
      <w:color w:val="00000A"/>
      <w:sz w:val="24"/>
      <w:szCs w:val="21"/>
      <w:lang w:eastAsia="zh-CN" w:bidi="hi-IN"/>
    </w:rPr>
  </w:style>
  <w:style w:type="paragraph" w:styleId="Textoindependiente">
    <w:name w:val="Body Text"/>
    <w:basedOn w:val="Normal"/>
    <w:link w:val="TextoindependienteCar"/>
    <w:unhideWhenUsed/>
    <w:rsid w:val="00311CEC"/>
    <w:pPr>
      <w:widowControl w:val="0"/>
      <w:suppressAutoHyphens/>
      <w:spacing w:after="120" w:line="240" w:lineRule="auto"/>
    </w:pPr>
    <w:rPr>
      <w:rFonts w:ascii="Liberation Serif" w:eastAsia="SimSun" w:hAnsi="Liberation Serif" w:cs="Mangal"/>
      <w:color w:val="00000A"/>
      <w:sz w:val="24"/>
      <w:szCs w:val="21"/>
      <w:lang w:eastAsia="zh-CN" w:bidi="hi-IN"/>
    </w:rPr>
  </w:style>
  <w:style w:type="character" w:customStyle="1" w:styleId="TextoindependienteCar">
    <w:name w:val="Texto independiente Car"/>
    <w:basedOn w:val="Fuentedeprrafopredeter"/>
    <w:link w:val="Textoindependiente"/>
    <w:rsid w:val="00311CEC"/>
    <w:rPr>
      <w:rFonts w:ascii="Liberation Serif" w:eastAsia="SimSun" w:hAnsi="Liberation Serif" w:cs="Mangal"/>
      <w:color w:val="00000A"/>
      <w:sz w:val="24"/>
      <w:szCs w:val="21"/>
      <w:lang w:eastAsia="zh-CN" w:bidi="hi-IN"/>
    </w:rPr>
  </w:style>
  <w:style w:type="paragraph" w:styleId="Textoindependienteprimerasangra">
    <w:name w:val="Body Text First Indent"/>
    <w:basedOn w:val="Textoindependiente"/>
    <w:link w:val="TextoindependienteprimerasangraCar"/>
    <w:uiPriority w:val="99"/>
    <w:unhideWhenUsed/>
    <w:rsid w:val="00311CEC"/>
    <w:pPr>
      <w:ind w:firstLine="210"/>
    </w:pPr>
  </w:style>
  <w:style w:type="character" w:customStyle="1" w:styleId="TextoindependienteprimerasangraCar">
    <w:name w:val="Texto independiente primera sangría Car"/>
    <w:basedOn w:val="TextoindependienteCar"/>
    <w:link w:val="Textoindependienteprimerasangra"/>
    <w:uiPriority w:val="99"/>
    <w:rsid w:val="00311CEC"/>
    <w:rPr>
      <w:rFonts w:ascii="Liberation Serif" w:eastAsia="SimSun" w:hAnsi="Liberation Serif" w:cs="Mangal"/>
      <w:color w:val="00000A"/>
      <w:sz w:val="24"/>
      <w:szCs w:val="21"/>
      <w:lang w:eastAsia="zh-CN" w:bidi="hi-IN"/>
    </w:rPr>
  </w:style>
  <w:style w:type="character" w:styleId="Mencionar">
    <w:name w:val="Mention"/>
    <w:uiPriority w:val="99"/>
    <w:semiHidden/>
    <w:unhideWhenUsed/>
    <w:rsid w:val="00311CEC"/>
    <w:rPr>
      <w:color w:val="2B579A"/>
      <w:shd w:val="clear" w:color="auto" w:fill="E6E6E6"/>
    </w:rPr>
  </w:style>
  <w:style w:type="character" w:customStyle="1" w:styleId="Ttulo6Car">
    <w:name w:val="Título 6 Car"/>
    <w:basedOn w:val="Fuentedeprrafopredeter"/>
    <w:link w:val="Ttulo6"/>
    <w:semiHidden/>
    <w:rsid w:val="002B0B09"/>
    <w:rPr>
      <w:rFonts w:ascii="Tahoma" w:eastAsia="Times New Roman" w:hAnsi="Tahoma"/>
      <w:sz w:val="24"/>
      <w:lang w:val="es-ES_tradnl" w:eastAsia="en-US"/>
    </w:rPr>
  </w:style>
  <w:style w:type="character" w:customStyle="1" w:styleId="Ttulo7Car">
    <w:name w:val="Título 7 Car"/>
    <w:basedOn w:val="Fuentedeprrafopredeter"/>
    <w:link w:val="Ttulo7"/>
    <w:uiPriority w:val="99"/>
    <w:semiHidden/>
    <w:rsid w:val="002B0B09"/>
    <w:rPr>
      <w:rFonts w:ascii="Arial" w:eastAsia="Times New Roman" w:hAnsi="Arial"/>
      <w:b/>
      <w:sz w:val="18"/>
      <w:lang w:val="es-ES_tradnl" w:eastAsia="es-ES"/>
    </w:rPr>
  </w:style>
  <w:style w:type="character" w:customStyle="1" w:styleId="Ttulo9Car">
    <w:name w:val="Título 9 Car"/>
    <w:basedOn w:val="Fuentedeprrafopredeter"/>
    <w:link w:val="Ttulo9"/>
    <w:uiPriority w:val="99"/>
    <w:semiHidden/>
    <w:rsid w:val="002B0B09"/>
    <w:rPr>
      <w:rFonts w:ascii="Cambria" w:eastAsia="Times New Roman" w:hAnsi="Cambria"/>
      <w:sz w:val="22"/>
      <w:szCs w:val="22"/>
      <w:lang w:val="es-ES_tradnl" w:eastAsia="en-US"/>
    </w:rPr>
  </w:style>
  <w:style w:type="paragraph" w:styleId="TtuloTDC">
    <w:name w:val="TOC Heading"/>
    <w:basedOn w:val="Ttulo1"/>
    <w:next w:val="Normal"/>
    <w:uiPriority w:val="39"/>
    <w:semiHidden/>
    <w:unhideWhenUsed/>
    <w:qFormat/>
    <w:rsid w:val="00B52A9F"/>
    <w:pPr>
      <w:keepLines/>
      <w:widowControl/>
      <w:suppressAutoHyphens w:val="0"/>
      <w:spacing w:after="0" w:line="276" w:lineRule="auto"/>
      <w:outlineLvl w:val="9"/>
    </w:pPr>
    <w:rPr>
      <w:rFonts w:asciiTheme="majorHAnsi" w:eastAsiaTheme="majorEastAsia" w:hAnsiTheme="majorHAnsi" w:cstheme="majorBidi"/>
      <w:b w:val="0"/>
      <w:bCs w:val="0"/>
      <w:color w:val="365F91" w:themeColor="accent1" w:themeShade="BF"/>
      <w:kern w:val="0"/>
      <w:szCs w:val="32"/>
      <w:lang w:val="es-CO" w:eastAsia="en-US" w:bidi="ar-SA"/>
    </w:rPr>
  </w:style>
  <w:style w:type="character" w:styleId="Referenciaintensa">
    <w:name w:val="Intense Reference"/>
    <w:basedOn w:val="Fuentedeprrafopredeter"/>
    <w:uiPriority w:val="68"/>
    <w:qFormat/>
    <w:rsid w:val="00B52A9F"/>
    <w:rPr>
      <w:b/>
      <w:bCs/>
      <w:smallCaps/>
      <w:color w:val="C0504D" w:themeColor="accent2"/>
      <w:spacing w:val="5"/>
      <w:u w:val="single"/>
    </w:rPr>
  </w:style>
  <w:style w:type="character" w:styleId="Ttulodellibro">
    <w:name w:val="Book Title"/>
    <w:basedOn w:val="Fuentedeprrafopredeter"/>
    <w:uiPriority w:val="69"/>
    <w:qFormat/>
    <w:rsid w:val="00B52A9F"/>
    <w:rPr>
      <w:b/>
      <w:bCs/>
      <w:smallCaps/>
      <w:spacing w:val="5"/>
    </w:rPr>
  </w:style>
  <w:style w:type="character" w:styleId="nfasis">
    <w:name w:val="Emphasis"/>
    <w:basedOn w:val="Fuentedeprrafopredeter"/>
    <w:qFormat/>
    <w:locked/>
    <w:rsid w:val="00B52A9F"/>
    <w:rPr>
      <w:i/>
      <w:iCs/>
    </w:rPr>
  </w:style>
  <w:style w:type="paragraph" w:styleId="Asuntodelcomentario">
    <w:name w:val="annotation subject"/>
    <w:basedOn w:val="Textocomentario"/>
    <w:next w:val="Textocomentario"/>
    <w:link w:val="AsuntodelcomentarioCar"/>
    <w:uiPriority w:val="99"/>
    <w:semiHidden/>
    <w:unhideWhenUsed/>
    <w:rsid w:val="00B52A9F"/>
    <w:pPr>
      <w:overflowPunct/>
      <w:autoSpaceDE/>
      <w:autoSpaceDN/>
      <w:adjustRightInd/>
      <w:spacing w:after="200"/>
      <w:textAlignment w:val="auto"/>
    </w:pPr>
    <w:rPr>
      <w:rFonts w:ascii="Calibri" w:eastAsia="Calibri" w:hAnsi="Calibri"/>
      <w:b/>
      <w:bCs/>
      <w:lang w:val="es-CO" w:eastAsia="en-US"/>
    </w:rPr>
  </w:style>
  <w:style w:type="character" w:customStyle="1" w:styleId="AsuntodelcomentarioCar">
    <w:name w:val="Asunto del comentario Car"/>
    <w:basedOn w:val="TextocomentarioCar"/>
    <w:link w:val="Asuntodelcomentario"/>
    <w:uiPriority w:val="99"/>
    <w:semiHidden/>
    <w:rsid w:val="00B52A9F"/>
    <w:rPr>
      <w:rFonts w:ascii="Times New Roman" w:hAnsi="Times New Roman" w:cs="Times New Roman"/>
      <w:b/>
      <w:bCs/>
      <w:lang w:val="es-ES_tradnl" w:eastAsia="en-US"/>
    </w:rPr>
  </w:style>
  <w:style w:type="character" w:customStyle="1" w:styleId="im">
    <w:name w:val="im"/>
    <w:basedOn w:val="Fuentedeprrafopredeter"/>
    <w:rsid w:val="00B52A9F"/>
  </w:style>
  <w:style w:type="paragraph" w:styleId="Descripcin">
    <w:name w:val="caption"/>
    <w:basedOn w:val="Normal"/>
    <w:next w:val="Normal"/>
    <w:unhideWhenUsed/>
    <w:qFormat/>
    <w:locked/>
    <w:rsid w:val="00B52A9F"/>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B52A9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405065">
      <w:bodyDiv w:val="1"/>
      <w:marLeft w:val="0"/>
      <w:marRight w:val="0"/>
      <w:marTop w:val="0"/>
      <w:marBottom w:val="0"/>
      <w:divBdr>
        <w:top w:val="none" w:sz="0" w:space="0" w:color="auto"/>
        <w:left w:val="none" w:sz="0" w:space="0" w:color="auto"/>
        <w:bottom w:val="none" w:sz="0" w:space="0" w:color="auto"/>
        <w:right w:val="none" w:sz="0" w:space="0" w:color="auto"/>
      </w:divBdr>
      <w:divsChild>
        <w:div w:id="1563328180">
          <w:marLeft w:val="0"/>
          <w:marRight w:val="0"/>
          <w:marTop w:val="0"/>
          <w:marBottom w:val="0"/>
          <w:divBdr>
            <w:top w:val="none" w:sz="0" w:space="0" w:color="auto"/>
            <w:left w:val="none" w:sz="0" w:space="0" w:color="auto"/>
            <w:bottom w:val="none" w:sz="0" w:space="0" w:color="auto"/>
            <w:right w:val="none" w:sz="0" w:space="0" w:color="auto"/>
          </w:divBdr>
        </w:div>
        <w:div w:id="1981376279">
          <w:marLeft w:val="0"/>
          <w:marRight w:val="0"/>
          <w:marTop w:val="0"/>
          <w:marBottom w:val="0"/>
          <w:divBdr>
            <w:top w:val="none" w:sz="0" w:space="0" w:color="auto"/>
            <w:left w:val="none" w:sz="0" w:space="0" w:color="auto"/>
            <w:bottom w:val="none" w:sz="0" w:space="0" w:color="auto"/>
            <w:right w:val="none" w:sz="0" w:space="0" w:color="auto"/>
          </w:divBdr>
        </w:div>
      </w:divsChild>
    </w:div>
    <w:div w:id="511803016">
      <w:bodyDiv w:val="1"/>
      <w:marLeft w:val="0"/>
      <w:marRight w:val="0"/>
      <w:marTop w:val="0"/>
      <w:marBottom w:val="0"/>
      <w:divBdr>
        <w:top w:val="none" w:sz="0" w:space="0" w:color="auto"/>
        <w:left w:val="none" w:sz="0" w:space="0" w:color="auto"/>
        <w:bottom w:val="none" w:sz="0" w:space="0" w:color="auto"/>
        <w:right w:val="none" w:sz="0" w:space="0" w:color="auto"/>
      </w:divBdr>
    </w:div>
    <w:div w:id="587156506">
      <w:bodyDiv w:val="1"/>
      <w:marLeft w:val="0"/>
      <w:marRight w:val="0"/>
      <w:marTop w:val="0"/>
      <w:marBottom w:val="0"/>
      <w:divBdr>
        <w:top w:val="none" w:sz="0" w:space="0" w:color="auto"/>
        <w:left w:val="none" w:sz="0" w:space="0" w:color="auto"/>
        <w:bottom w:val="none" w:sz="0" w:space="0" w:color="auto"/>
        <w:right w:val="none" w:sz="0" w:space="0" w:color="auto"/>
      </w:divBdr>
    </w:div>
    <w:div w:id="771628708">
      <w:bodyDiv w:val="1"/>
      <w:marLeft w:val="0"/>
      <w:marRight w:val="0"/>
      <w:marTop w:val="0"/>
      <w:marBottom w:val="0"/>
      <w:divBdr>
        <w:top w:val="none" w:sz="0" w:space="0" w:color="auto"/>
        <w:left w:val="none" w:sz="0" w:space="0" w:color="auto"/>
        <w:bottom w:val="none" w:sz="0" w:space="0" w:color="auto"/>
        <w:right w:val="none" w:sz="0" w:space="0" w:color="auto"/>
      </w:divBdr>
    </w:div>
    <w:div w:id="899443912">
      <w:bodyDiv w:val="1"/>
      <w:marLeft w:val="0"/>
      <w:marRight w:val="0"/>
      <w:marTop w:val="0"/>
      <w:marBottom w:val="0"/>
      <w:divBdr>
        <w:top w:val="none" w:sz="0" w:space="0" w:color="auto"/>
        <w:left w:val="none" w:sz="0" w:space="0" w:color="auto"/>
        <w:bottom w:val="none" w:sz="0" w:space="0" w:color="auto"/>
        <w:right w:val="none" w:sz="0" w:space="0" w:color="auto"/>
      </w:divBdr>
    </w:div>
    <w:div w:id="969018412">
      <w:bodyDiv w:val="1"/>
      <w:marLeft w:val="0"/>
      <w:marRight w:val="0"/>
      <w:marTop w:val="0"/>
      <w:marBottom w:val="0"/>
      <w:divBdr>
        <w:top w:val="none" w:sz="0" w:space="0" w:color="auto"/>
        <w:left w:val="none" w:sz="0" w:space="0" w:color="auto"/>
        <w:bottom w:val="none" w:sz="0" w:space="0" w:color="auto"/>
        <w:right w:val="none" w:sz="0" w:space="0" w:color="auto"/>
      </w:divBdr>
    </w:div>
    <w:div w:id="1326788989">
      <w:bodyDiv w:val="1"/>
      <w:marLeft w:val="0"/>
      <w:marRight w:val="0"/>
      <w:marTop w:val="0"/>
      <w:marBottom w:val="0"/>
      <w:divBdr>
        <w:top w:val="none" w:sz="0" w:space="0" w:color="auto"/>
        <w:left w:val="none" w:sz="0" w:space="0" w:color="auto"/>
        <w:bottom w:val="none" w:sz="0" w:space="0" w:color="auto"/>
        <w:right w:val="none" w:sz="0" w:space="0" w:color="auto"/>
      </w:divBdr>
    </w:div>
    <w:div w:id="1586111194">
      <w:bodyDiv w:val="1"/>
      <w:marLeft w:val="0"/>
      <w:marRight w:val="0"/>
      <w:marTop w:val="0"/>
      <w:marBottom w:val="0"/>
      <w:divBdr>
        <w:top w:val="none" w:sz="0" w:space="0" w:color="auto"/>
        <w:left w:val="none" w:sz="0" w:space="0" w:color="auto"/>
        <w:bottom w:val="none" w:sz="0" w:space="0" w:color="auto"/>
        <w:right w:val="none" w:sz="0" w:space="0" w:color="auto"/>
      </w:divBdr>
    </w:div>
    <w:div w:id="1633320585">
      <w:bodyDiv w:val="1"/>
      <w:marLeft w:val="0"/>
      <w:marRight w:val="0"/>
      <w:marTop w:val="0"/>
      <w:marBottom w:val="0"/>
      <w:divBdr>
        <w:top w:val="none" w:sz="0" w:space="0" w:color="auto"/>
        <w:left w:val="none" w:sz="0" w:space="0" w:color="auto"/>
        <w:bottom w:val="none" w:sz="0" w:space="0" w:color="auto"/>
        <w:right w:val="none" w:sz="0" w:space="0" w:color="auto"/>
      </w:divBdr>
    </w:div>
    <w:div w:id="1880699734">
      <w:bodyDiv w:val="1"/>
      <w:marLeft w:val="0"/>
      <w:marRight w:val="0"/>
      <w:marTop w:val="0"/>
      <w:marBottom w:val="0"/>
      <w:divBdr>
        <w:top w:val="none" w:sz="0" w:space="0" w:color="auto"/>
        <w:left w:val="none" w:sz="0" w:space="0" w:color="auto"/>
        <w:bottom w:val="none" w:sz="0" w:space="0" w:color="auto"/>
        <w:right w:val="none" w:sz="0" w:space="0" w:color="auto"/>
      </w:divBdr>
    </w:div>
    <w:div w:id="2015960629">
      <w:bodyDiv w:val="1"/>
      <w:marLeft w:val="0"/>
      <w:marRight w:val="0"/>
      <w:marTop w:val="0"/>
      <w:marBottom w:val="0"/>
      <w:divBdr>
        <w:top w:val="none" w:sz="0" w:space="0" w:color="auto"/>
        <w:left w:val="none" w:sz="0" w:space="0" w:color="auto"/>
        <w:bottom w:val="none" w:sz="0" w:space="0" w:color="auto"/>
        <w:right w:val="none" w:sz="0" w:space="0" w:color="auto"/>
      </w:divBdr>
    </w:div>
    <w:div w:id="2016763658">
      <w:bodyDiv w:val="1"/>
      <w:marLeft w:val="0"/>
      <w:marRight w:val="0"/>
      <w:marTop w:val="0"/>
      <w:marBottom w:val="0"/>
      <w:divBdr>
        <w:top w:val="none" w:sz="0" w:space="0" w:color="auto"/>
        <w:left w:val="none" w:sz="0" w:space="0" w:color="auto"/>
        <w:bottom w:val="none" w:sz="0" w:space="0" w:color="auto"/>
        <w:right w:val="none" w:sz="0" w:space="0" w:color="auto"/>
      </w:divBdr>
    </w:div>
    <w:div w:id="208818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eg"/><Relationship Id="rId21" Type="http://schemas.openxmlformats.org/officeDocument/2006/relationships/chart" Target="charts/chart8.xml"/><Relationship Id="rId42" Type="http://schemas.openxmlformats.org/officeDocument/2006/relationships/image" Target="media/image18.png"/><Relationship Id="rId63" Type="http://schemas.openxmlformats.org/officeDocument/2006/relationships/image" Target="media/image26.jpeg"/><Relationship Id="rId84" Type="http://schemas.openxmlformats.org/officeDocument/2006/relationships/diagramQuickStyle" Target="diagrams/quickStyle5.xml"/><Relationship Id="rId138" Type="http://schemas.openxmlformats.org/officeDocument/2006/relationships/image" Target="media/image76.png"/><Relationship Id="rId159" Type="http://schemas.openxmlformats.org/officeDocument/2006/relationships/image" Target="media/image91.emf"/><Relationship Id="rId170" Type="http://schemas.openxmlformats.org/officeDocument/2006/relationships/image" Target="media/image102.jpeg"/><Relationship Id="rId191" Type="http://schemas.openxmlformats.org/officeDocument/2006/relationships/image" Target="media/image118.emf"/><Relationship Id="rId205" Type="http://schemas.openxmlformats.org/officeDocument/2006/relationships/chart" Target="charts/chart33.xml"/><Relationship Id="rId107" Type="http://schemas.openxmlformats.org/officeDocument/2006/relationships/diagramLayout" Target="diagrams/layout8.xml"/><Relationship Id="rId11" Type="http://schemas.openxmlformats.org/officeDocument/2006/relationships/image" Target="media/image4.jpeg"/><Relationship Id="rId32" Type="http://schemas.openxmlformats.org/officeDocument/2006/relationships/diagramData" Target="diagrams/data1.xml"/><Relationship Id="rId37" Type="http://schemas.openxmlformats.org/officeDocument/2006/relationships/image" Target="media/image13.jpeg"/><Relationship Id="rId53" Type="http://schemas.openxmlformats.org/officeDocument/2006/relationships/diagramQuickStyle" Target="diagrams/quickStyle2.xml"/><Relationship Id="rId58" Type="http://schemas.openxmlformats.org/officeDocument/2006/relationships/diagramQuickStyle" Target="diagrams/quickStyle3.xml"/><Relationship Id="rId74" Type="http://schemas.openxmlformats.org/officeDocument/2006/relationships/diagramColors" Target="diagrams/colors4.xml"/><Relationship Id="rId79" Type="http://schemas.openxmlformats.org/officeDocument/2006/relationships/image" Target="media/image37.jpeg"/><Relationship Id="rId102" Type="http://schemas.openxmlformats.org/officeDocument/2006/relationships/image" Target="media/image45.jpeg"/><Relationship Id="rId123" Type="http://schemas.openxmlformats.org/officeDocument/2006/relationships/image" Target="media/image61.jpeg"/><Relationship Id="rId128" Type="http://schemas.openxmlformats.org/officeDocument/2006/relationships/image" Target="media/image66.jpeg"/><Relationship Id="rId144" Type="http://schemas.openxmlformats.org/officeDocument/2006/relationships/image" Target="media/image82.emf"/><Relationship Id="rId149" Type="http://schemas.openxmlformats.org/officeDocument/2006/relationships/image" Target="media/image85.emf"/><Relationship Id="rId5" Type="http://schemas.openxmlformats.org/officeDocument/2006/relationships/webSettings" Target="webSettings.xml"/><Relationship Id="rId90" Type="http://schemas.openxmlformats.org/officeDocument/2006/relationships/diagramColors" Target="diagrams/colors6.xml"/><Relationship Id="rId95" Type="http://schemas.openxmlformats.org/officeDocument/2006/relationships/diagramColors" Target="diagrams/colors7.xml"/><Relationship Id="rId160" Type="http://schemas.openxmlformats.org/officeDocument/2006/relationships/image" Target="media/image92.jpeg"/><Relationship Id="rId165" Type="http://schemas.openxmlformats.org/officeDocument/2006/relationships/image" Target="media/image97.jpeg"/><Relationship Id="rId181" Type="http://schemas.openxmlformats.org/officeDocument/2006/relationships/image" Target="media/image113.jpeg"/><Relationship Id="rId186" Type="http://schemas.openxmlformats.org/officeDocument/2006/relationships/hyperlink" Target="https://www.kienyke.com/historias/maria-lopez-recicladora-presidencial" TargetMode="External"/><Relationship Id="rId211" Type="http://schemas.openxmlformats.org/officeDocument/2006/relationships/fontTable" Target="fontTable.xml"/><Relationship Id="rId22" Type="http://schemas.openxmlformats.org/officeDocument/2006/relationships/chart" Target="charts/chart9.xml"/><Relationship Id="rId27" Type="http://schemas.openxmlformats.org/officeDocument/2006/relationships/hyperlink" Target="http://www.cajaviviendapopular.gov.co" TargetMode="External"/><Relationship Id="rId43" Type="http://schemas.openxmlformats.org/officeDocument/2006/relationships/header" Target="header1.xml"/><Relationship Id="rId48" Type="http://schemas.openxmlformats.org/officeDocument/2006/relationships/chart" Target="charts/chart17.xml"/><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51.jpeg"/><Relationship Id="rId118" Type="http://schemas.openxmlformats.org/officeDocument/2006/relationships/image" Target="media/image56.jpeg"/><Relationship Id="rId134" Type="http://schemas.openxmlformats.org/officeDocument/2006/relationships/image" Target="media/image72.jpeg"/><Relationship Id="rId139" Type="http://schemas.openxmlformats.org/officeDocument/2006/relationships/image" Target="media/image77.png"/><Relationship Id="rId80" Type="http://schemas.openxmlformats.org/officeDocument/2006/relationships/image" Target="media/image38.jpeg"/><Relationship Id="rId85" Type="http://schemas.openxmlformats.org/officeDocument/2006/relationships/diagramColors" Target="diagrams/colors5.xml"/><Relationship Id="rId150" Type="http://schemas.openxmlformats.org/officeDocument/2006/relationships/chart" Target="charts/chart20.xml"/><Relationship Id="rId155" Type="http://schemas.openxmlformats.org/officeDocument/2006/relationships/image" Target="media/image88.emf"/><Relationship Id="rId171" Type="http://schemas.openxmlformats.org/officeDocument/2006/relationships/image" Target="media/image103.png"/><Relationship Id="rId176" Type="http://schemas.openxmlformats.org/officeDocument/2006/relationships/image" Target="media/image108.png"/><Relationship Id="rId192" Type="http://schemas.openxmlformats.org/officeDocument/2006/relationships/chart" Target="charts/chart25.xml"/><Relationship Id="rId197" Type="http://schemas.openxmlformats.org/officeDocument/2006/relationships/chart" Target="charts/chart30.xml"/><Relationship Id="rId206" Type="http://schemas.openxmlformats.org/officeDocument/2006/relationships/chart" Target="charts/chart34.xml"/><Relationship Id="rId201" Type="http://schemas.openxmlformats.org/officeDocument/2006/relationships/image" Target="media/image120.png"/><Relationship Id="rId12" Type="http://schemas.openxmlformats.org/officeDocument/2006/relationships/image" Target="media/image5.jpeg"/><Relationship Id="rId17" Type="http://schemas.openxmlformats.org/officeDocument/2006/relationships/chart" Target="charts/chart4.xml"/><Relationship Id="rId33" Type="http://schemas.openxmlformats.org/officeDocument/2006/relationships/diagramLayout" Target="diagrams/layout1.xml"/><Relationship Id="rId38" Type="http://schemas.openxmlformats.org/officeDocument/2006/relationships/image" Target="media/image14.jpeg"/><Relationship Id="rId59" Type="http://schemas.openxmlformats.org/officeDocument/2006/relationships/diagramColors" Target="diagrams/colors3.xml"/><Relationship Id="rId103" Type="http://schemas.openxmlformats.org/officeDocument/2006/relationships/image" Target="media/image46.jpeg"/><Relationship Id="rId108" Type="http://schemas.openxmlformats.org/officeDocument/2006/relationships/diagramQuickStyle" Target="diagrams/quickStyle8.xml"/><Relationship Id="rId124" Type="http://schemas.openxmlformats.org/officeDocument/2006/relationships/image" Target="media/image62.jpeg"/><Relationship Id="rId129" Type="http://schemas.openxmlformats.org/officeDocument/2006/relationships/image" Target="media/image67.jpeg"/><Relationship Id="rId54" Type="http://schemas.openxmlformats.org/officeDocument/2006/relationships/diagramColors" Target="diagrams/colors2.xml"/><Relationship Id="rId70" Type="http://schemas.openxmlformats.org/officeDocument/2006/relationships/image" Target="media/image33.jpeg"/><Relationship Id="rId75" Type="http://schemas.microsoft.com/office/2007/relationships/diagramDrawing" Target="diagrams/drawing4.xml"/><Relationship Id="rId91" Type="http://schemas.microsoft.com/office/2007/relationships/diagramDrawing" Target="diagrams/drawing6.xml"/><Relationship Id="rId96" Type="http://schemas.microsoft.com/office/2007/relationships/diagramDrawing" Target="diagrams/drawing7.xml"/><Relationship Id="rId140" Type="http://schemas.openxmlformats.org/officeDocument/2006/relationships/image" Target="media/image78.jpeg"/><Relationship Id="rId145" Type="http://schemas.openxmlformats.org/officeDocument/2006/relationships/chart" Target="charts/chart18.xml"/><Relationship Id="rId161" Type="http://schemas.openxmlformats.org/officeDocument/2006/relationships/image" Target="media/image93.emf"/><Relationship Id="rId166" Type="http://schemas.openxmlformats.org/officeDocument/2006/relationships/image" Target="media/image98.jpeg"/><Relationship Id="rId182" Type="http://schemas.openxmlformats.org/officeDocument/2006/relationships/image" Target="media/image114.jpeg"/><Relationship Id="rId187" Type="http://schemas.openxmlformats.org/officeDocument/2006/relationships/hyperlink" Target="https://www.youtube.com/watch?v=xMJ7_Leqpq0"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chart" Target="charts/chart10.xml"/><Relationship Id="rId28" Type="http://schemas.openxmlformats.org/officeDocument/2006/relationships/image" Target="media/image7.png"/><Relationship Id="rId49" Type="http://schemas.openxmlformats.org/officeDocument/2006/relationships/image" Target="media/image22.png"/><Relationship Id="rId114" Type="http://schemas.openxmlformats.org/officeDocument/2006/relationships/image" Target="media/image52.jpeg"/><Relationship Id="rId119" Type="http://schemas.openxmlformats.org/officeDocument/2006/relationships/image" Target="media/image57.jpeg"/><Relationship Id="rId44" Type="http://schemas.openxmlformats.org/officeDocument/2006/relationships/footer" Target="footer1.xml"/><Relationship Id="rId60" Type="http://schemas.microsoft.com/office/2007/relationships/diagramDrawing" Target="diagrams/drawing3.xml"/><Relationship Id="rId65" Type="http://schemas.openxmlformats.org/officeDocument/2006/relationships/image" Target="media/image28.jpeg"/><Relationship Id="rId81" Type="http://schemas.openxmlformats.org/officeDocument/2006/relationships/image" Target="media/image39.jpeg"/><Relationship Id="rId86" Type="http://schemas.microsoft.com/office/2007/relationships/diagramDrawing" Target="diagrams/drawing5.xml"/><Relationship Id="rId130" Type="http://schemas.openxmlformats.org/officeDocument/2006/relationships/image" Target="media/image68.jpeg"/><Relationship Id="rId135" Type="http://schemas.openxmlformats.org/officeDocument/2006/relationships/image" Target="media/image73.jpeg"/><Relationship Id="rId151" Type="http://schemas.openxmlformats.org/officeDocument/2006/relationships/chart" Target="charts/chart21.xml"/><Relationship Id="rId156" Type="http://schemas.openxmlformats.org/officeDocument/2006/relationships/image" Target="media/image89.emf"/><Relationship Id="rId177" Type="http://schemas.openxmlformats.org/officeDocument/2006/relationships/image" Target="media/image109.png"/><Relationship Id="rId198" Type="http://schemas.openxmlformats.org/officeDocument/2006/relationships/chart" Target="charts/chart31.xml"/><Relationship Id="rId172" Type="http://schemas.openxmlformats.org/officeDocument/2006/relationships/image" Target="media/image104.png"/><Relationship Id="rId193" Type="http://schemas.openxmlformats.org/officeDocument/2006/relationships/chart" Target="charts/chart26.xml"/><Relationship Id="rId202" Type="http://schemas.openxmlformats.org/officeDocument/2006/relationships/image" Target="media/image121.emf"/><Relationship Id="rId207" Type="http://schemas.openxmlformats.org/officeDocument/2006/relationships/header" Target="header3.xml"/><Relationship Id="rId13" Type="http://schemas.openxmlformats.org/officeDocument/2006/relationships/image" Target="media/image6.jpeg"/><Relationship Id="rId18" Type="http://schemas.openxmlformats.org/officeDocument/2006/relationships/chart" Target="charts/chart5.xml"/><Relationship Id="rId39" Type="http://schemas.openxmlformats.org/officeDocument/2006/relationships/image" Target="media/image15.jpeg"/><Relationship Id="rId109" Type="http://schemas.openxmlformats.org/officeDocument/2006/relationships/diagramColors" Target="diagrams/colors8.xml"/><Relationship Id="rId34" Type="http://schemas.openxmlformats.org/officeDocument/2006/relationships/diagramQuickStyle" Target="diagrams/quickStyle1.xml"/><Relationship Id="rId50" Type="http://schemas.openxmlformats.org/officeDocument/2006/relationships/image" Target="media/image23.png"/><Relationship Id="rId55" Type="http://schemas.microsoft.com/office/2007/relationships/diagramDrawing" Target="diagrams/drawing2.xml"/><Relationship Id="rId76" Type="http://schemas.openxmlformats.org/officeDocument/2006/relationships/image" Target="media/image34.jpeg"/><Relationship Id="rId97" Type="http://schemas.openxmlformats.org/officeDocument/2006/relationships/image" Target="media/image40.jpeg"/><Relationship Id="rId104" Type="http://schemas.openxmlformats.org/officeDocument/2006/relationships/image" Target="media/image47.png"/><Relationship Id="rId120" Type="http://schemas.openxmlformats.org/officeDocument/2006/relationships/image" Target="media/image58.jpeg"/><Relationship Id="rId125" Type="http://schemas.openxmlformats.org/officeDocument/2006/relationships/image" Target="media/image63.jpeg"/><Relationship Id="rId141" Type="http://schemas.openxmlformats.org/officeDocument/2006/relationships/image" Target="media/image79.jpeg"/><Relationship Id="rId146" Type="http://schemas.openxmlformats.org/officeDocument/2006/relationships/chart" Target="charts/chart19.xml"/><Relationship Id="rId167" Type="http://schemas.openxmlformats.org/officeDocument/2006/relationships/image" Target="media/image99.jpeg"/><Relationship Id="rId188" Type="http://schemas.openxmlformats.org/officeDocument/2006/relationships/hyperlink" Target="https://www.youtube.com/watch?v=NiaS_k5HtqI" TargetMode="External"/><Relationship Id="rId7" Type="http://schemas.openxmlformats.org/officeDocument/2006/relationships/endnotes" Target="endnotes.xml"/><Relationship Id="rId71" Type="http://schemas.openxmlformats.org/officeDocument/2006/relationships/diagramData" Target="diagrams/data4.xml"/><Relationship Id="rId92" Type="http://schemas.openxmlformats.org/officeDocument/2006/relationships/diagramData" Target="diagrams/data7.xml"/><Relationship Id="rId162" Type="http://schemas.openxmlformats.org/officeDocument/2006/relationships/image" Target="media/image94.wmf"/><Relationship Id="rId183"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11.xml"/><Relationship Id="rId40" Type="http://schemas.openxmlformats.org/officeDocument/2006/relationships/image" Target="media/image16.jpeg"/><Relationship Id="rId45" Type="http://schemas.openxmlformats.org/officeDocument/2006/relationships/chart" Target="charts/chart16.xml"/><Relationship Id="rId66" Type="http://schemas.openxmlformats.org/officeDocument/2006/relationships/image" Target="media/image29.jpeg"/><Relationship Id="rId87" Type="http://schemas.openxmlformats.org/officeDocument/2006/relationships/diagramData" Target="diagrams/data6.xml"/><Relationship Id="rId110" Type="http://schemas.microsoft.com/office/2007/relationships/diagramDrawing" Target="diagrams/drawing8.xml"/><Relationship Id="rId115" Type="http://schemas.openxmlformats.org/officeDocument/2006/relationships/image" Target="media/image53.jpeg"/><Relationship Id="rId131" Type="http://schemas.openxmlformats.org/officeDocument/2006/relationships/image" Target="media/image69.jpeg"/><Relationship Id="rId136" Type="http://schemas.openxmlformats.org/officeDocument/2006/relationships/image" Target="media/image74.jpeg"/><Relationship Id="rId157" Type="http://schemas.openxmlformats.org/officeDocument/2006/relationships/image" Target="media/image90.jpeg"/><Relationship Id="rId178" Type="http://schemas.openxmlformats.org/officeDocument/2006/relationships/image" Target="media/image110.jpeg"/><Relationship Id="rId61" Type="http://schemas.openxmlformats.org/officeDocument/2006/relationships/image" Target="media/image24.jpeg"/><Relationship Id="rId82" Type="http://schemas.openxmlformats.org/officeDocument/2006/relationships/diagramData" Target="diagrams/data5.xml"/><Relationship Id="rId152" Type="http://schemas.openxmlformats.org/officeDocument/2006/relationships/image" Target="media/image86.emf"/><Relationship Id="rId173" Type="http://schemas.openxmlformats.org/officeDocument/2006/relationships/image" Target="media/image105.jpeg"/><Relationship Id="rId194" Type="http://schemas.openxmlformats.org/officeDocument/2006/relationships/chart" Target="charts/chart27.xml"/><Relationship Id="rId199" Type="http://schemas.openxmlformats.org/officeDocument/2006/relationships/chart" Target="charts/chart32.xml"/><Relationship Id="rId203" Type="http://schemas.openxmlformats.org/officeDocument/2006/relationships/image" Target="media/image122.png"/><Relationship Id="rId208" Type="http://schemas.openxmlformats.org/officeDocument/2006/relationships/footer" Target="footer4.xml"/><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4.xml"/><Relationship Id="rId35" Type="http://schemas.openxmlformats.org/officeDocument/2006/relationships/diagramColors" Target="diagrams/colors1.xml"/><Relationship Id="rId56" Type="http://schemas.openxmlformats.org/officeDocument/2006/relationships/diagramData" Target="diagrams/data3.xml"/><Relationship Id="rId77" Type="http://schemas.openxmlformats.org/officeDocument/2006/relationships/image" Target="media/image35.jpeg"/><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image" Target="media/image64.jpeg"/><Relationship Id="rId147" Type="http://schemas.openxmlformats.org/officeDocument/2006/relationships/image" Target="media/image83.emf"/><Relationship Id="rId168" Type="http://schemas.openxmlformats.org/officeDocument/2006/relationships/image" Target="media/image100.jpeg"/><Relationship Id="rId8" Type="http://schemas.openxmlformats.org/officeDocument/2006/relationships/image" Target="media/image1.emf"/><Relationship Id="rId51" Type="http://schemas.openxmlformats.org/officeDocument/2006/relationships/diagramData" Target="diagrams/data2.xml"/><Relationship Id="rId72" Type="http://schemas.openxmlformats.org/officeDocument/2006/relationships/diagramLayout" Target="diagrams/layout4.xml"/><Relationship Id="rId93" Type="http://schemas.openxmlformats.org/officeDocument/2006/relationships/diagramLayout" Target="diagrams/layout7.xml"/><Relationship Id="rId98" Type="http://schemas.openxmlformats.org/officeDocument/2006/relationships/image" Target="media/image41.jpeg"/><Relationship Id="rId121" Type="http://schemas.openxmlformats.org/officeDocument/2006/relationships/image" Target="media/image59.jpeg"/><Relationship Id="rId142" Type="http://schemas.openxmlformats.org/officeDocument/2006/relationships/image" Target="media/image80.png"/><Relationship Id="rId163" Type="http://schemas.openxmlformats.org/officeDocument/2006/relationships/image" Target="media/image95.wmf"/><Relationship Id="rId184" Type="http://schemas.openxmlformats.org/officeDocument/2006/relationships/image" Target="media/image116.jpeg"/><Relationship Id="rId189" Type="http://schemas.openxmlformats.org/officeDocument/2006/relationships/chart" Target="charts/chart23.xml"/><Relationship Id="rId3" Type="http://schemas.openxmlformats.org/officeDocument/2006/relationships/styles" Target="styles.xml"/><Relationship Id="rId25" Type="http://schemas.openxmlformats.org/officeDocument/2006/relationships/chart" Target="charts/chart12.xml"/><Relationship Id="rId46" Type="http://schemas.openxmlformats.org/officeDocument/2006/relationships/header" Target="header2.xml"/><Relationship Id="rId67" Type="http://schemas.openxmlformats.org/officeDocument/2006/relationships/image" Target="media/image30.jpeg"/><Relationship Id="rId116" Type="http://schemas.openxmlformats.org/officeDocument/2006/relationships/image" Target="media/image54.jpeg"/><Relationship Id="rId137" Type="http://schemas.openxmlformats.org/officeDocument/2006/relationships/image" Target="media/image75.jpeg"/><Relationship Id="rId158" Type="http://schemas.openxmlformats.org/officeDocument/2006/relationships/chart" Target="charts/chart22.xml"/><Relationship Id="rId20" Type="http://schemas.openxmlformats.org/officeDocument/2006/relationships/chart" Target="charts/chart7.xml"/><Relationship Id="rId41" Type="http://schemas.openxmlformats.org/officeDocument/2006/relationships/image" Target="media/image17.jpeg"/><Relationship Id="rId62" Type="http://schemas.openxmlformats.org/officeDocument/2006/relationships/image" Target="media/image25.jpeg"/><Relationship Id="rId83" Type="http://schemas.openxmlformats.org/officeDocument/2006/relationships/diagramLayout" Target="diagrams/layout5.xml"/><Relationship Id="rId88" Type="http://schemas.openxmlformats.org/officeDocument/2006/relationships/diagramLayout" Target="diagrams/layout6.xml"/><Relationship Id="rId111" Type="http://schemas.openxmlformats.org/officeDocument/2006/relationships/image" Target="media/image49.jpeg"/><Relationship Id="rId132" Type="http://schemas.openxmlformats.org/officeDocument/2006/relationships/image" Target="media/image70.jpeg"/><Relationship Id="rId153" Type="http://schemas.openxmlformats.org/officeDocument/2006/relationships/footer" Target="footer3.xml"/><Relationship Id="rId174" Type="http://schemas.openxmlformats.org/officeDocument/2006/relationships/image" Target="media/image106.jpeg"/><Relationship Id="rId179" Type="http://schemas.openxmlformats.org/officeDocument/2006/relationships/image" Target="media/image111.png"/><Relationship Id="rId195" Type="http://schemas.openxmlformats.org/officeDocument/2006/relationships/chart" Target="charts/chart28.xml"/><Relationship Id="rId209" Type="http://schemas.openxmlformats.org/officeDocument/2006/relationships/image" Target="media/image126.emf"/><Relationship Id="rId190" Type="http://schemas.openxmlformats.org/officeDocument/2006/relationships/chart" Target="charts/chart24.xml"/><Relationship Id="rId204" Type="http://schemas.openxmlformats.org/officeDocument/2006/relationships/image" Target="media/image123.png"/><Relationship Id="rId15" Type="http://schemas.openxmlformats.org/officeDocument/2006/relationships/chart" Target="charts/chart2.xml"/><Relationship Id="rId36" Type="http://schemas.microsoft.com/office/2007/relationships/diagramDrawing" Target="diagrams/drawing1.xml"/><Relationship Id="rId57" Type="http://schemas.openxmlformats.org/officeDocument/2006/relationships/diagramLayout" Target="diagrams/layout3.xml"/><Relationship Id="rId106" Type="http://schemas.openxmlformats.org/officeDocument/2006/relationships/diagramData" Target="diagrams/data8.xml"/><Relationship Id="rId127" Type="http://schemas.openxmlformats.org/officeDocument/2006/relationships/image" Target="media/image65.jpeg"/><Relationship Id="rId10" Type="http://schemas.openxmlformats.org/officeDocument/2006/relationships/image" Target="media/image3.jpeg"/><Relationship Id="rId31" Type="http://schemas.openxmlformats.org/officeDocument/2006/relationships/chart" Target="charts/chart15.xml"/><Relationship Id="rId52" Type="http://schemas.openxmlformats.org/officeDocument/2006/relationships/diagramLayout" Target="diagrams/layout2.xml"/><Relationship Id="rId73" Type="http://schemas.openxmlformats.org/officeDocument/2006/relationships/diagramQuickStyle" Target="diagrams/quickStyle4.xml"/><Relationship Id="rId78" Type="http://schemas.openxmlformats.org/officeDocument/2006/relationships/image" Target="media/image36.jpeg"/><Relationship Id="rId94" Type="http://schemas.openxmlformats.org/officeDocument/2006/relationships/diagramQuickStyle" Target="diagrams/quickStyle7.xml"/><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image" Target="media/image60.jpeg"/><Relationship Id="rId143" Type="http://schemas.openxmlformats.org/officeDocument/2006/relationships/image" Target="media/image81.png"/><Relationship Id="rId148" Type="http://schemas.openxmlformats.org/officeDocument/2006/relationships/image" Target="media/image84.png"/><Relationship Id="rId164" Type="http://schemas.openxmlformats.org/officeDocument/2006/relationships/image" Target="media/image96.jpeg"/><Relationship Id="rId169" Type="http://schemas.openxmlformats.org/officeDocument/2006/relationships/image" Target="media/image101.jpeg"/><Relationship Id="rId185"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2.png"/><Relationship Id="rId210" Type="http://schemas.openxmlformats.org/officeDocument/2006/relationships/image" Target="media/image127.emf"/><Relationship Id="rId26" Type="http://schemas.openxmlformats.org/officeDocument/2006/relationships/chart" Target="charts/chart13.xml"/><Relationship Id="rId47" Type="http://schemas.openxmlformats.org/officeDocument/2006/relationships/footer" Target="footer2.xml"/><Relationship Id="rId68" Type="http://schemas.openxmlformats.org/officeDocument/2006/relationships/image" Target="media/image31.jpeg"/><Relationship Id="rId89" Type="http://schemas.openxmlformats.org/officeDocument/2006/relationships/diagramQuickStyle" Target="diagrams/quickStyle6.xml"/><Relationship Id="rId112" Type="http://schemas.openxmlformats.org/officeDocument/2006/relationships/image" Target="media/image50.jpeg"/><Relationship Id="rId133" Type="http://schemas.openxmlformats.org/officeDocument/2006/relationships/image" Target="media/image71.jpeg"/><Relationship Id="rId154" Type="http://schemas.openxmlformats.org/officeDocument/2006/relationships/image" Target="media/image87.emf"/><Relationship Id="rId175" Type="http://schemas.openxmlformats.org/officeDocument/2006/relationships/image" Target="media/image107.jpeg"/><Relationship Id="rId196" Type="http://schemas.openxmlformats.org/officeDocument/2006/relationships/chart" Target="charts/chart29.xml"/><Relationship Id="rId200" Type="http://schemas.openxmlformats.org/officeDocument/2006/relationships/image" Target="media/image119.png"/><Relationship Id="rId16" Type="http://schemas.openxmlformats.org/officeDocument/2006/relationships/chart" Target="charts/chart3.xml"/></Relationships>
</file>

<file path=word/_rels/footer1.xml.rels><?xml version="1.0" encoding="UTF-8" standalone="yes"?>
<Relationships xmlns="http://schemas.openxmlformats.org/package/2006/relationships"><Relationship Id="rId1" Type="http://schemas.openxmlformats.org/officeDocument/2006/relationships/image" Target="media/image20.jpeg"/></Relationships>
</file>

<file path=word/_rels/footer2.xml.rels><?xml version="1.0" encoding="UTF-8" standalone="yes"?>
<Relationships xmlns="http://schemas.openxmlformats.org/package/2006/relationships"><Relationship Id="rId1" Type="http://schemas.openxmlformats.org/officeDocument/2006/relationships/image" Target="media/image21.jpeg"/></Relationships>
</file>

<file path=word/_rels/footer4.xml.rels><?xml version="1.0" encoding="UTF-8" standalone="yes"?>
<Relationships xmlns="http://schemas.openxmlformats.org/package/2006/relationships"><Relationship Id="rId1"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_rels/header3.xml.rels><?xml version="1.0" encoding="UTF-8" standalone="yes"?>
<Relationships xmlns="http://schemas.openxmlformats.org/package/2006/relationships"><Relationship Id="rId1" Type="http://schemas.openxmlformats.org/officeDocument/2006/relationships/image" Target="media/image12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oleObject" Target="file:///E:\Diplomado\rendici&#243;n%20de%20cuentas\Cuadro%20para%20rendici&#243;n%20d%20e%20cuentas%20financiero.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daza\Documents\A&#209;O%202017\INFORMES\INFORME%20DE%20EJECUCION%20DE%20INGRESOS%20DIC%202016.xlsx" TargetMode="External"/><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DCARVAJAL\Desktop\DOCUMENTOS%20CVP\A&#209;O%202016\INFORME%20EJE%20POR%20TRIMESTRE%202016\Ejecucion%20Disp%20Regis%20Giros%2031%20Diciembre%202016.xlsx" TargetMode="External"/><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DCARVAJAL\Desktop\DOCUMENTOS%20CVP\A&#209;O%202017\INFORMES%20POR%20TRIMESTRE%202017\INFORME%20SEGUIMIENTO%20PRESUPUESTAL%20PLANEACI&#211;N\Ejecucion%20Disp%20Regis%20Giros%20a%2031%20de%20OCTUBRE%202017.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rcnarvaez\Downloads\BASE%20DE%20DATOS%20INFORMACION%20PROCESOS%20DE%20SELECCION%20ENERO-OCTUBRE%20DE%202017.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BASE%20DE%20DATOS%20INFORMACION%20PROCESOS%20DE%20SELECCION%20ENERO-OCTUBRE%20DE%202017.xls"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BASE%20DE%20DATOS%20INFORMACION%20PROCESOS%20DE%20SELECCION%20ENERO-OCTUBRE%20DE%202017.xls"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TOTAL%20PROPONENTES%20BASE%20DE%20DATO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rcnarvaez\Desktop\informe%20PENTICIONES%2001-01-2016%20al%2031-12-2016%20(20).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rcnarvaez\Desktop\informe%20PENTICIONES%2001-01-2016%20al%2031-12-2016%20(20).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JFCastellanos\Desktop\GR&#193;FICAS%20INFORME%20DE%20GESTI&#211;N.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JFCastellanos\Desktop\GR&#193;FICAS%20INFORME%20DE%20GESTI&#211;N.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CARACTERIZACION!$E$3</c:f>
              <c:strCache>
                <c:ptCount val="1"/>
                <c:pt idx="0">
                  <c:v># PERSONAS</c:v>
                </c:pt>
              </c:strCache>
            </c:strRef>
          </c:tx>
          <c:spPr>
            <a:solidFill>
              <a:schemeClr val="accent1">
                <a:lumMod val="40000"/>
                <a:lumOff val="60000"/>
              </a:schemeClr>
            </a:solidFill>
            <a:ln w="9504" cap="flat" cmpd="sng" algn="ctr">
              <a:noFill/>
              <a:round/>
            </a:ln>
            <a:effectLst>
              <a:outerShdw blurRad="40000" dist="20000" dir="5400000" rotWithShape="0">
                <a:srgbClr val="000000">
                  <a:alpha val="38000"/>
                </a:srgbClr>
              </a:outerShdw>
            </a:effectLst>
            <a:sp3d/>
          </c:spPr>
          <c:invertIfNegative val="0"/>
          <c:dLbls>
            <c:spPr>
              <a:noFill/>
              <a:ln w="2534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CARACTERIZACION!$D$4:$D$9</c:f>
              <c:strCache>
                <c:ptCount val="6"/>
                <c:pt idx="0">
                  <c:v>1. (0 -5) Primera infancia</c:v>
                </c:pt>
                <c:pt idx="1">
                  <c:v>2. (6-12) Infancia </c:v>
                </c:pt>
                <c:pt idx="2">
                  <c:v>3. (13 - 17) Adolescencia</c:v>
                </c:pt>
                <c:pt idx="3">
                  <c:v>4. (18 - 26) Jovenes </c:v>
                </c:pt>
                <c:pt idx="4">
                  <c:v>5. (27 - 59) Adultez </c:v>
                </c:pt>
                <c:pt idx="5">
                  <c:v>6. 60 + Adelante (Adultos Mayores)</c:v>
                </c:pt>
              </c:strCache>
            </c:strRef>
          </c:cat>
          <c:val>
            <c:numRef>
              <c:f>CARACTERIZACION!$E$4:$E$9</c:f>
              <c:numCache>
                <c:formatCode>0</c:formatCode>
                <c:ptCount val="6"/>
                <c:pt idx="0">
                  <c:v>340</c:v>
                </c:pt>
                <c:pt idx="1">
                  <c:v>144</c:v>
                </c:pt>
                <c:pt idx="2">
                  <c:v>951</c:v>
                </c:pt>
                <c:pt idx="3">
                  <c:v>958</c:v>
                </c:pt>
                <c:pt idx="4">
                  <c:v>2263</c:v>
                </c:pt>
                <c:pt idx="5">
                  <c:v>805</c:v>
                </c:pt>
              </c:numCache>
            </c:numRef>
          </c:val>
          <c:extLst>
            <c:ext xmlns:c16="http://schemas.microsoft.com/office/drawing/2014/chart" uri="{C3380CC4-5D6E-409C-BE32-E72D297353CC}">
              <c16:uniqueId val="{00000000-6F5D-477B-89E3-10083A78D92C}"/>
            </c:ext>
          </c:extLst>
        </c:ser>
        <c:dLbls>
          <c:showLegendKey val="0"/>
          <c:showVal val="0"/>
          <c:showCatName val="0"/>
          <c:showSerName val="0"/>
          <c:showPercent val="0"/>
          <c:showBubbleSize val="0"/>
        </c:dLbls>
        <c:gapWidth val="150"/>
        <c:shape val="box"/>
        <c:axId val="216609648"/>
        <c:axId val="1"/>
        <c:axId val="0"/>
      </c:bar3DChart>
      <c:catAx>
        <c:axId val="216609648"/>
        <c:scaling>
          <c:orientation val="minMax"/>
        </c:scaling>
        <c:delete val="0"/>
        <c:axPos val="b"/>
        <c:numFmt formatCode="General" sourceLinked="1"/>
        <c:majorTickMark val="none"/>
        <c:minorTickMark val="none"/>
        <c:tickLblPos val="nextTo"/>
        <c:spPr>
          <a:ln w="6336">
            <a:noFill/>
          </a:ln>
        </c:spPr>
        <c:txPr>
          <a:bodyPr rot="-2700000" vert="horz"/>
          <a:lstStyle/>
          <a:p>
            <a:pPr>
              <a:defRPr sz="898"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216609648"/>
        <c:crosses val="autoZero"/>
        <c:crossBetween val="between"/>
      </c:valAx>
      <c:spPr>
        <a:noFill/>
        <a:ln w="2534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0.17061611374407584"/>
          <c:w val="0.99981857016476294"/>
          <c:h val="0.80188130512122002"/>
        </c:manualLayout>
      </c:layout>
      <c:bar3DChart>
        <c:barDir val="col"/>
        <c:grouping val="clustered"/>
        <c:varyColors val="0"/>
        <c:ser>
          <c:idx val="1"/>
          <c:order val="0"/>
          <c:tx>
            <c:strRef>
              <c:f>'PERCEPCION OBRA'!$E$30</c:f>
              <c:strCache>
                <c:ptCount val="1"/>
                <c:pt idx="0">
                  <c:v># PERSONAS</c:v>
                </c:pt>
              </c:strCache>
            </c:strRef>
          </c:tx>
          <c:spPr>
            <a:solidFill>
              <a:schemeClr val="accent1">
                <a:lumMod val="40000"/>
                <a:lumOff val="60000"/>
              </a:schemeClr>
            </a:solidFill>
            <a:ln w="9507" cap="flat" cmpd="sng" algn="ctr">
              <a:noFill/>
              <a:round/>
            </a:ln>
            <a:effectLst>
              <a:outerShdw blurRad="40000" dist="20000" dir="5400000" rotWithShape="0">
                <a:srgbClr val="000000">
                  <a:alpha val="38000"/>
                </a:srgbClr>
              </a:outerShdw>
            </a:effectLst>
            <a:sp3d/>
          </c:spPr>
          <c:invertIfNegative val="0"/>
          <c:dLbls>
            <c:spPr>
              <a:noFill/>
              <a:ln w="2535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OBRA'!$D$31:$D$38</c:f>
              <c:strCache>
                <c:ptCount val="8"/>
                <c:pt idx="0">
                  <c:v>Salud</c:v>
                </c:pt>
                <c:pt idx="1">
                  <c:v>Convivencia</c:v>
                </c:pt>
                <c:pt idx="2">
                  <c:v>Seguridad</c:v>
                </c:pt>
                <c:pt idx="3">
                  <c:v>Comodidad</c:v>
                </c:pt>
                <c:pt idx="4">
                  <c:v>Ingresos económicos</c:v>
                </c:pt>
                <c:pt idx="5">
                  <c:v>Disminuyó el costo de servicios públicos</c:v>
                </c:pt>
                <c:pt idx="6">
                  <c:v>Todos los anteriores</c:v>
                </c:pt>
                <c:pt idx="7">
                  <c:v>Otro: ¿Cuál?</c:v>
                </c:pt>
              </c:strCache>
            </c:strRef>
          </c:cat>
          <c:val>
            <c:numRef>
              <c:f>'PERCEPCION OBRA'!$E$31:$E$38</c:f>
              <c:numCache>
                <c:formatCode>0</c:formatCode>
                <c:ptCount val="8"/>
                <c:pt idx="0">
                  <c:v>695</c:v>
                </c:pt>
                <c:pt idx="1">
                  <c:v>402</c:v>
                </c:pt>
                <c:pt idx="2">
                  <c:v>230</c:v>
                </c:pt>
                <c:pt idx="3">
                  <c:v>670</c:v>
                </c:pt>
                <c:pt idx="4">
                  <c:v>33</c:v>
                </c:pt>
                <c:pt idx="5">
                  <c:v>15</c:v>
                </c:pt>
                <c:pt idx="6">
                  <c:v>385</c:v>
                </c:pt>
                <c:pt idx="7">
                  <c:v>3</c:v>
                </c:pt>
              </c:numCache>
            </c:numRef>
          </c:val>
          <c:extLst>
            <c:ext xmlns:c16="http://schemas.microsoft.com/office/drawing/2014/chart" uri="{C3380CC4-5D6E-409C-BE32-E72D297353CC}">
              <c16:uniqueId val="{00000000-961C-438D-8C58-B19D3DD86B05}"/>
            </c:ext>
          </c:extLst>
        </c:ser>
        <c:dLbls>
          <c:showLegendKey val="0"/>
          <c:showVal val="0"/>
          <c:showCatName val="0"/>
          <c:showSerName val="0"/>
          <c:showPercent val="0"/>
          <c:showBubbleSize val="0"/>
        </c:dLbls>
        <c:gapWidth val="150"/>
        <c:shape val="box"/>
        <c:axId val="163704656"/>
        <c:axId val="1"/>
        <c:axId val="0"/>
      </c:bar3DChart>
      <c:catAx>
        <c:axId val="163704656"/>
        <c:scaling>
          <c:orientation val="minMax"/>
        </c:scaling>
        <c:delete val="0"/>
        <c:axPos val="b"/>
        <c:numFmt formatCode="General" sourceLinked="1"/>
        <c:majorTickMark val="none"/>
        <c:minorTickMark val="none"/>
        <c:tickLblPos val="nextTo"/>
        <c:spPr>
          <a:ln w="6338">
            <a:noFill/>
          </a:ln>
        </c:spPr>
        <c:txPr>
          <a:bodyPr rot="-2700000" vert="horz"/>
          <a:lstStyle/>
          <a:p>
            <a:pPr>
              <a:defRPr sz="699"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3704656"/>
        <c:crosses val="autoZero"/>
        <c:crossBetween val="between"/>
      </c:valAx>
      <c:spPr>
        <a:noFill/>
        <a:ln w="2535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8142983523707578E-4"/>
          <c:y val="0.17061611374407584"/>
          <c:w val="0.99981857016476294"/>
          <c:h val="0.80188130512122002"/>
        </c:manualLayout>
      </c:layout>
      <c:bar3DChart>
        <c:barDir val="col"/>
        <c:grouping val="clustered"/>
        <c:varyColors val="0"/>
        <c:ser>
          <c:idx val="1"/>
          <c:order val="0"/>
          <c:tx>
            <c:strRef>
              <c:f>'PERCEPCION OBRA'!$E$42</c:f>
              <c:strCache>
                <c:ptCount val="1"/>
                <c:pt idx="0">
                  <c:v># PERSONAS</c:v>
                </c:pt>
              </c:strCache>
            </c:strRef>
          </c:tx>
          <c:spPr>
            <a:solidFill>
              <a:schemeClr val="accent1">
                <a:lumMod val="40000"/>
                <a:lumOff val="60000"/>
              </a:schemeClr>
            </a:solidFill>
            <a:ln w="9511" cap="flat" cmpd="sng" algn="ctr">
              <a:noFill/>
              <a:round/>
            </a:ln>
            <a:effectLst>
              <a:outerShdw blurRad="40000" dist="20000" dir="5400000" rotWithShape="0">
                <a:srgbClr val="000000">
                  <a:alpha val="38000"/>
                </a:srgbClr>
              </a:outerShdw>
            </a:effectLst>
            <a:sp3d/>
          </c:spPr>
          <c:invertIfNegative val="0"/>
          <c:dLbls>
            <c:spPr>
              <a:noFill/>
              <a:ln>
                <a:noFill/>
              </a:ln>
              <a:effectLst/>
            </c:spPr>
            <c:txPr>
              <a:bodyPr rot="0" spcFirstLastPara="1" vertOverflow="ellipsis" vert="horz" wrap="square" anchor="ctr" anchorCtr="1"/>
              <a:lstStyle/>
              <a:p>
                <a:pPr>
                  <a:defRPr sz="8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OBRA'!$D$43:$D$49</c:f>
              <c:strCache>
                <c:ptCount val="7"/>
                <c:pt idx="0">
                  <c:v>Permanecen más tiempo en la casa</c:v>
                </c:pt>
                <c:pt idx="1">
                  <c:v>Reciben más visitas de amigos y familiares</c:v>
                </c:pt>
                <c:pt idx="2">
                  <c:v>Cada integrante goza ahora de un espacio privado</c:v>
                </c:pt>
                <c:pt idx="3">
                  <c:v>Las mascotas cuentan con un espacio adecuado</c:v>
                </c:pt>
                <c:pt idx="4">
                  <c:v>Comparten más en familia en áreas sociales de la casa</c:v>
                </c:pt>
                <c:pt idx="5">
                  <c:v>Se recuperaron áreas que antes no se utilizaban</c:v>
                </c:pt>
                <c:pt idx="6">
                  <c:v>Otro:   ¿Cuál?</c:v>
                </c:pt>
              </c:strCache>
            </c:strRef>
          </c:cat>
          <c:val>
            <c:numRef>
              <c:f>'PERCEPCION OBRA'!$E$43:$E$49</c:f>
              <c:numCache>
                <c:formatCode>0</c:formatCode>
                <c:ptCount val="7"/>
                <c:pt idx="0">
                  <c:v>575</c:v>
                </c:pt>
                <c:pt idx="1">
                  <c:v>360</c:v>
                </c:pt>
                <c:pt idx="2">
                  <c:v>296</c:v>
                </c:pt>
                <c:pt idx="3">
                  <c:v>133</c:v>
                </c:pt>
                <c:pt idx="4">
                  <c:v>324</c:v>
                </c:pt>
                <c:pt idx="5">
                  <c:v>400</c:v>
                </c:pt>
                <c:pt idx="6">
                  <c:v>34</c:v>
                </c:pt>
              </c:numCache>
            </c:numRef>
          </c:val>
          <c:extLst>
            <c:ext xmlns:c16="http://schemas.microsoft.com/office/drawing/2014/chart" uri="{C3380CC4-5D6E-409C-BE32-E72D297353CC}">
              <c16:uniqueId val="{00000000-E4BE-4A71-B633-582825138E98}"/>
            </c:ext>
          </c:extLst>
        </c:ser>
        <c:dLbls>
          <c:showLegendKey val="0"/>
          <c:showVal val="0"/>
          <c:showCatName val="0"/>
          <c:showSerName val="0"/>
          <c:showPercent val="0"/>
          <c:showBubbleSize val="0"/>
        </c:dLbls>
        <c:gapWidth val="150"/>
        <c:shape val="box"/>
        <c:axId val="162633528"/>
        <c:axId val="1"/>
        <c:axId val="0"/>
      </c:bar3DChart>
      <c:catAx>
        <c:axId val="162633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2633528"/>
        <c:crosses val="autoZero"/>
        <c:crossBetween val="between"/>
      </c:valAx>
      <c:spPr>
        <a:noFill/>
        <a:ln w="25364">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3.5162566401687835E-2"/>
          <c:w val="0.99981857016476294"/>
          <c:h val="0.87843624810056642"/>
        </c:manualLayout>
      </c:layout>
      <c:bar3DChart>
        <c:barDir val="col"/>
        <c:grouping val="clustered"/>
        <c:varyColors val="0"/>
        <c:ser>
          <c:idx val="1"/>
          <c:order val="0"/>
          <c:tx>
            <c:strRef>
              <c:f>'PERCEPCION OBRA'!$E$53</c:f>
              <c:strCache>
                <c:ptCount val="1"/>
                <c:pt idx="0">
                  <c:v># PERSONAS</c:v>
                </c:pt>
              </c:strCache>
            </c:strRef>
          </c:tx>
          <c:spPr>
            <a:solidFill>
              <a:schemeClr val="accent1">
                <a:lumMod val="40000"/>
                <a:lumOff val="60000"/>
              </a:schemeClr>
            </a:solidFill>
            <a:ln w="9500" cap="flat" cmpd="sng" algn="ctr">
              <a:noFill/>
              <a:round/>
            </a:ln>
            <a:effectLst>
              <a:outerShdw blurRad="40000" dist="20000" dir="5400000" rotWithShape="0">
                <a:srgbClr val="000000">
                  <a:alpha val="38000"/>
                </a:srgbClr>
              </a:outerShdw>
            </a:effectLst>
            <a:sp3d/>
          </c:spPr>
          <c:invertIfNegative val="0"/>
          <c:dLbls>
            <c:dLbl>
              <c:idx val="0"/>
              <c:layout>
                <c:manualLayout>
                  <c:x val="2.2323272626921867E-2"/>
                  <c:y val="-3.8277511961722487E-2"/>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0F-43D0-96A2-84BBFC4E7FD0}"/>
                </c:ext>
              </c:extLst>
            </c:dLbl>
            <c:dLbl>
              <c:idx val="1"/>
              <c:layout>
                <c:manualLayout>
                  <c:x val="2.7283999877348947E-2"/>
                  <c:y val="1.9138755980861129E-2"/>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0F-43D0-96A2-84BBFC4E7FD0}"/>
                </c:ext>
              </c:extLst>
            </c:dLbl>
            <c:dLbl>
              <c:idx val="2"/>
              <c:layout>
                <c:manualLayout>
                  <c:x val="2.4803636252135317E-2"/>
                  <c:y val="6.379585326953748E-3"/>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0F-43D0-96A2-84BBFC4E7FD0}"/>
                </c:ext>
              </c:extLst>
            </c:dLbl>
            <c:spPr>
              <a:noFill/>
              <a:ln w="2533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OBRA'!$D$54:$D$56</c:f>
              <c:strCache>
                <c:ptCount val="3"/>
                <c:pt idx="0">
                  <c:v>BUENA</c:v>
                </c:pt>
                <c:pt idx="1">
                  <c:v>REGULAR</c:v>
                </c:pt>
                <c:pt idx="2">
                  <c:v>MALA</c:v>
                </c:pt>
              </c:strCache>
            </c:strRef>
          </c:cat>
          <c:val>
            <c:numRef>
              <c:f>'PERCEPCION OBRA'!$E$54:$E$56</c:f>
              <c:numCache>
                <c:formatCode>0</c:formatCode>
                <c:ptCount val="3"/>
                <c:pt idx="0">
                  <c:v>1062</c:v>
                </c:pt>
                <c:pt idx="1">
                  <c:v>43</c:v>
                </c:pt>
                <c:pt idx="2">
                  <c:v>73</c:v>
                </c:pt>
              </c:numCache>
            </c:numRef>
          </c:val>
          <c:extLst>
            <c:ext xmlns:c16="http://schemas.microsoft.com/office/drawing/2014/chart" uri="{C3380CC4-5D6E-409C-BE32-E72D297353CC}">
              <c16:uniqueId val="{00000003-870F-43D0-96A2-84BBFC4E7FD0}"/>
            </c:ext>
          </c:extLst>
        </c:ser>
        <c:dLbls>
          <c:showLegendKey val="0"/>
          <c:showVal val="0"/>
          <c:showCatName val="0"/>
          <c:showSerName val="0"/>
          <c:showPercent val="0"/>
          <c:showBubbleSize val="0"/>
        </c:dLbls>
        <c:gapWidth val="150"/>
        <c:shape val="box"/>
        <c:axId val="163779384"/>
        <c:axId val="1"/>
        <c:axId val="0"/>
      </c:bar3DChart>
      <c:catAx>
        <c:axId val="163779384"/>
        <c:scaling>
          <c:orientation val="minMax"/>
        </c:scaling>
        <c:delete val="0"/>
        <c:axPos val="b"/>
        <c:numFmt formatCode="General" sourceLinked="1"/>
        <c:majorTickMark val="none"/>
        <c:minorTickMark val="none"/>
        <c:tickLblPos val="nextTo"/>
        <c:spPr>
          <a:ln w="6333">
            <a:noFill/>
          </a:ln>
        </c:spPr>
        <c:txPr>
          <a:bodyPr rot="0" vert="horz"/>
          <a:lstStyle/>
          <a:p>
            <a:pPr>
              <a:defRPr sz="698"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3779384"/>
        <c:crosses val="autoZero"/>
        <c:crossBetween val="between"/>
      </c:valAx>
      <c:spPr>
        <a:noFill/>
        <a:ln w="2533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3762266325823E-4"/>
          <c:y val="0"/>
          <c:w val="0.99981857016476294"/>
          <c:h val="0.91359881450225422"/>
        </c:manualLayout>
      </c:layout>
      <c:bar3DChart>
        <c:barDir val="col"/>
        <c:grouping val="clustered"/>
        <c:varyColors val="0"/>
        <c:ser>
          <c:idx val="1"/>
          <c:order val="0"/>
          <c:tx>
            <c:strRef>
              <c:f>'PERCEPCION OBRA'!$E$60</c:f>
              <c:strCache>
                <c:ptCount val="1"/>
                <c:pt idx="0">
                  <c:v># PERSONAS</c:v>
                </c:pt>
              </c:strCache>
            </c:strRef>
          </c:tx>
          <c:spPr>
            <a:solidFill>
              <a:schemeClr val="accent1">
                <a:lumMod val="40000"/>
                <a:lumOff val="60000"/>
              </a:schemeClr>
            </a:solidFill>
            <a:ln w="9505" cap="flat" cmpd="sng" algn="ctr">
              <a:noFill/>
              <a:round/>
            </a:ln>
            <a:effectLst>
              <a:outerShdw blurRad="40000" dist="20000" dir="5400000" rotWithShape="0">
                <a:srgbClr val="000000">
                  <a:alpha val="38000"/>
                </a:srgbClr>
              </a:outerShdw>
            </a:effectLst>
            <a:sp3d/>
          </c:spPr>
          <c:invertIfNegative val="0"/>
          <c:dLbls>
            <c:dLbl>
              <c:idx val="0"/>
              <c:layout>
                <c:manualLayout>
                  <c:x val="1.2987012987012988E-2"/>
                  <c:y val="-2.366863905325451E-2"/>
                </c:manualLayout>
              </c:layout>
              <c:spPr>
                <a:noFill/>
                <a:ln w="25346">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A7-4AC8-8B31-AF537E6C9AF9}"/>
                </c:ext>
              </c:extLst>
            </c:dLbl>
            <c:spPr>
              <a:noFill/>
              <a:ln w="25346">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OBRA'!$D$61:$D$63</c:f>
              <c:strCache>
                <c:ptCount val="3"/>
                <c:pt idx="0">
                  <c:v>BUENA</c:v>
                </c:pt>
                <c:pt idx="1">
                  <c:v>REGULAR</c:v>
                </c:pt>
                <c:pt idx="2">
                  <c:v>MALA</c:v>
                </c:pt>
              </c:strCache>
            </c:strRef>
          </c:cat>
          <c:val>
            <c:numRef>
              <c:f>'PERCEPCION OBRA'!$E$61:$E$63</c:f>
              <c:numCache>
                <c:formatCode>0</c:formatCode>
                <c:ptCount val="3"/>
                <c:pt idx="0">
                  <c:v>1084</c:v>
                </c:pt>
                <c:pt idx="1">
                  <c:v>15</c:v>
                </c:pt>
                <c:pt idx="2">
                  <c:v>34</c:v>
                </c:pt>
              </c:numCache>
            </c:numRef>
          </c:val>
          <c:extLst>
            <c:ext xmlns:c16="http://schemas.microsoft.com/office/drawing/2014/chart" uri="{C3380CC4-5D6E-409C-BE32-E72D297353CC}">
              <c16:uniqueId val="{00000001-23A7-4AC8-8B31-AF537E6C9AF9}"/>
            </c:ext>
          </c:extLst>
        </c:ser>
        <c:dLbls>
          <c:showLegendKey val="0"/>
          <c:showVal val="0"/>
          <c:showCatName val="0"/>
          <c:showSerName val="0"/>
          <c:showPercent val="0"/>
          <c:showBubbleSize val="0"/>
        </c:dLbls>
        <c:gapWidth val="150"/>
        <c:shape val="box"/>
        <c:axId val="162894760"/>
        <c:axId val="1"/>
        <c:axId val="0"/>
      </c:bar3DChart>
      <c:catAx>
        <c:axId val="162894760"/>
        <c:scaling>
          <c:orientation val="minMax"/>
        </c:scaling>
        <c:delete val="0"/>
        <c:axPos val="b"/>
        <c:numFmt formatCode="General" sourceLinked="1"/>
        <c:majorTickMark val="none"/>
        <c:minorTickMark val="none"/>
        <c:tickLblPos val="nextTo"/>
        <c:spPr>
          <a:ln w="6337">
            <a:noFill/>
          </a:ln>
        </c:spPr>
        <c:txPr>
          <a:bodyPr rot="0" vert="horz"/>
          <a:lstStyle/>
          <a:p>
            <a:pPr>
              <a:defRPr sz="699"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2894760"/>
        <c:crosses val="autoZero"/>
        <c:crossBetween val="between"/>
      </c:valAx>
      <c:spPr>
        <a:noFill/>
        <a:ln w="25346">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chemeClr val="tx1"/>
                </a:solidFill>
                <a:latin typeface="Tahoma" pitchFamily="34" charset="0"/>
                <a:ea typeface="Tahoma" pitchFamily="34" charset="0"/>
                <a:cs typeface="Tahoma" pitchFamily="34" charset="0"/>
              </a:defRPr>
            </a:pPr>
            <a:r>
              <a:rPr lang="es-CO" sz="900">
                <a:latin typeface="Tahoma" pitchFamily="34" charset="0"/>
                <a:ea typeface="Tahoma" pitchFamily="34" charset="0"/>
                <a:cs typeface="Tahoma" pitchFamily="34" charset="0"/>
              </a:rPr>
              <a:t>Meta Plan de Desarrollo Distrital "Bogotá Mejor para Todos" Código 465 - Desarrollar el 100% de las intervenciones priorizadas de mejoramiento". Vigencia 2016</a:t>
            </a:r>
          </a:p>
        </c:rich>
      </c:tx>
      <c:layout>
        <c:manualLayout>
          <c:xMode val="edge"/>
          <c:yMode val="edge"/>
          <c:x val="9.5464719084027538E-2"/>
          <c:y val="4.7627193947295449E-2"/>
        </c:manualLayout>
      </c:layout>
      <c:overlay val="0"/>
      <c:spPr>
        <a:noFill/>
        <a:ln>
          <a:noFill/>
        </a:ln>
        <a:effectLst/>
      </c:sp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008403183473034E-2"/>
          <c:y val="0.24212280789742047"/>
          <c:w val="0.49057996782660229"/>
          <c:h val="0.6492411856161292"/>
        </c:manualLayout>
      </c:layout>
      <c:pie3DChart>
        <c:varyColors val="1"/>
        <c:ser>
          <c:idx val="0"/>
          <c:order val="0"/>
          <c:explosion val="25"/>
          <c:dPt>
            <c:idx val="0"/>
            <c:bubble3D val="0"/>
            <c:spPr>
              <a:solidFill>
                <a:schemeClr val="accent2"/>
              </a:solidFill>
              <a:ln>
                <a:noFill/>
              </a:ln>
              <a:effectLst/>
              <a:sp3d/>
            </c:spPr>
            <c:extLst>
              <c:ext xmlns:c16="http://schemas.microsoft.com/office/drawing/2014/chart" uri="{C3380CC4-5D6E-409C-BE32-E72D297353CC}">
                <c16:uniqueId val="{00000001-32D6-440D-895D-2B510752976D}"/>
              </c:ext>
            </c:extLst>
          </c:dPt>
          <c:dPt>
            <c:idx val="1"/>
            <c:bubble3D val="0"/>
            <c:spPr>
              <a:solidFill>
                <a:schemeClr val="accent4"/>
              </a:solidFill>
              <a:ln>
                <a:noFill/>
              </a:ln>
              <a:effectLst/>
              <a:sp3d/>
            </c:spPr>
            <c:extLst>
              <c:ext xmlns:c16="http://schemas.microsoft.com/office/drawing/2014/chart" uri="{C3380CC4-5D6E-409C-BE32-E72D297353CC}">
                <c16:uniqueId val="{00000003-32D6-440D-895D-2B510752976D}"/>
              </c:ext>
            </c:extLst>
          </c:dPt>
          <c:dPt>
            <c:idx val="2"/>
            <c:bubble3D val="0"/>
            <c:spPr>
              <a:solidFill>
                <a:schemeClr val="accent6"/>
              </a:solidFill>
              <a:ln>
                <a:noFill/>
              </a:ln>
              <a:effectLst/>
              <a:sp3d/>
            </c:spPr>
            <c:extLst>
              <c:ext xmlns:c16="http://schemas.microsoft.com/office/drawing/2014/chart" uri="{C3380CC4-5D6E-409C-BE32-E72D297353CC}">
                <c16:uniqueId val="{00000005-32D6-440D-895D-2B510752976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Hoja3!$A$10:$A$11</c:f>
              <c:strCache>
                <c:ptCount val="2"/>
                <c:pt idx="0">
                  <c:v>Según  Plan Operativo de Actividades:  El cumplimiento del 40% en eficiencia, se logró con el inicio de 27 obras de infraestructura en espacio público a escala barrial, en las Localidades de Ciudad Bolívar, Usme y San Cristóbal.</c:v>
                </c:pt>
                <c:pt idx="1">
                  <c:v>Meta rezago para la vigencia 2017: Cumplimiento de la eficacia con la ejecución de la construcción de 27  obras, adjudicadas en diciembre de 2016.</c:v>
                </c:pt>
              </c:strCache>
            </c:strRef>
          </c:cat>
          <c:val>
            <c:numRef>
              <c:f>Hoja3!$B$10:$B$11</c:f>
              <c:numCache>
                <c:formatCode>0%</c:formatCode>
                <c:ptCount val="2"/>
                <c:pt idx="0">
                  <c:v>0.4</c:v>
                </c:pt>
                <c:pt idx="1">
                  <c:v>0.6</c:v>
                </c:pt>
              </c:numCache>
            </c:numRef>
          </c:val>
          <c:extLst>
            <c:ext xmlns:c16="http://schemas.microsoft.com/office/drawing/2014/chart" uri="{C3380CC4-5D6E-409C-BE32-E72D297353CC}">
              <c16:uniqueId val="{00000006-32D6-440D-895D-2B510752976D}"/>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4589556345779355"/>
          <c:y val="0.25891290861369604"/>
          <c:w val="0.44372195411057491"/>
          <c:h val="0.7300843288125106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anoma"/>
              <a:ea typeface="+mn-ea"/>
              <a:cs typeface="+mn-cs"/>
            </a:defRPr>
          </a:pPr>
          <a:endParaRPr lang="es-E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lgn="just">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chemeClr val="tx1"/>
                </a:solidFill>
                <a:latin typeface="Tahoma" pitchFamily="34" charset="0"/>
                <a:ea typeface="Tahoma" pitchFamily="34" charset="0"/>
                <a:cs typeface="Tahoma" pitchFamily="34" charset="0"/>
              </a:defRPr>
            </a:pPr>
            <a:r>
              <a:rPr lang="es-CO" sz="900"/>
              <a:t>Meta Plan de Desarrollo Distrital "Bogotá Mejor para Todos" Código 465 - Desarrollar el 100% de las intervenciones priorizadas de mejoramiento. Vigencia</a:t>
            </a:r>
            <a:r>
              <a:rPr lang="es-CO" sz="900" baseline="0"/>
              <a:t> 2017</a:t>
            </a:r>
            <a:endParaRPr lang="es-CO" sz="900"/>
          </a:p>
        </c:rich>
      </c:tx>
      <c:overlay val="0"/>
      <c:spPr>
        <a:noFill/>
        <a:ln>
          <a:noFill/>
        </a:ln>
        <a:effectLst/>
      </c:sp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974052983861449E-2"/>
          <c:y val="0.2134720961488393"/>
          <c:w val="0.46232297087431545"/>
          <c:h val="0.64446405325339695"/>
        </c:manualLayout>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1-4B7E-4039-B581-BFCFCCB71CC3}"/>
              </c:ext>
            </c:extLst>
          </c:dPt>
          <c:dPt>
            <c:idx val="1"/>
            <c:bubble3D val="0"/>
            <c:spPr>
              <a:solidFill>
                <a:schemeClr val="accent3"/>
              </a:solidFill>
              <a:ln>
                <a:noFill/>
              </a:ln>
              <a:effectLst/>
              <a:sp3d/>
            </c:spPr>
            <c:extLst>
              <c:ext xmlns:c16="http://schemas.microsoft.com/office/drawing/2014/chart" uri="{C3380CC4-5D6E-409C-BE32-E72D297353CC}">
                <c16:uniqueId val="{00000003-4B7E-4039-B581-BFCFCCB71CC3}"/>
              </c:ext>
            </c:extLst>
          </c:dPt>
          <c:dPt>
            <c:idx val="2"/>
            <c:bubble3D val="0"/>
            <c:spPr>
              <a:solidFill>
                <a:schemeClr val="accent5"/>
              </a:solidFill>
              <a:ln>
                <a:noFill/>
              </a:ln>
              <a:effectLst/>
              <a:sp3d/>
            </c:spPr>
            <c:extLst>
              <c:ext xmlns:c16="http://schemas.microsoft.com/office/drawing/2014/chart" uri="{C3380CC4-5D6E-409C-BE32-E72D297353CC}">
                <c16:uniqueId val="{00000005-4B7E-4039-B581-BFCFCCB71CC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ahoma" pitchFamily="34" charset="0"/>
                    <a:ea typeface="Tahoma" pitchFamily="34" charset="0"/>
                    <a:cs typeface="Tahoma" pitchFamily="34" charset="0"/>
                  </a:defRPr>
                </a:pPr>
                <a:endParaRPr lang="es-E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Hoja3!$A$5:$A$7</c:f>
              <c:strCache>
                <c:ptCount val="3"/>
                <c:pt idx="0">
                  <c:v>Según  Plan Operativo de Actividades:  El avance del 31% en eficiencia, se logró con la adjudicación de la contratación de 20 reparaciones locativas en salones comunales, la construcción de 13 segmentos viales, la publicación de 15 segmentos más.</c:v>
                </c:pt>
                <c:pt idx="1">
                  <c:v>Programación de la eficiencia para el último bimestre: Se cumple con el inicio de 20  reparaciones locativas, 28 obras a ejecutar y 52 estudios y diseños, con los recursos de la vigencia 2017.</c:v>
                </c:pt>
                <c:pt idx="2">
                  <c:v>Programación de la eficacia para el último bimestre de la vigencia: En diciembre de 2017, cumplimiento de la eficacia con la ejecución de la construcción de 27  obras, adjudicadas en diciembre de 2016.</c:v>
                </c:pt>
              </c:strCache>
            </c:strRef>
          </c:cat>
          <c:val>
            <c:numRef>
              <c:f>Hoja3!$B$5:$B$7</c:f>
              <c:numCache>
                <c:formatCode>0%</c:formatCode>
                <c:ptCount val="3"/>
                <c:pt idx="0">
                  <c:v>0.31</c:v>
                </c:pt>
                <c:pt idx="1">
                  <c:v>0.09</c:v>
                </c:pt>
                <c:pt idx="2">
                  <c:v>0.6</c:v>
                </c:pt>
              </c:numCache>
            </c:numRef>
          </c:val>
          <c:extLst>
            <c:ext xmlns:c16="http://schemas.microsoft.com/office/drawing/2014/chart" uri="{C3380CC4-5D6E-409C-BE32-E72D297353CC}">
              <c16:uniqueId val="{00000006-4B7E-4039-B581-BFCFCCB71CC3}"/>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47126956016311111"/>
          <c:y val="0.17081489074220751"/>
          <c:w val="0.50609977386044736"/>
          <c:h val="0.82918510925779243"/>
        </c:manualLayout>
      </c:layout>
      <c:overlay val="0"/>
      <c:spPr>
        <a:noFill/>
        <a:ln>
          <a:noFill/>
        </a:ln>
        <a:effectLst/>
      </c:spPr>
      <c:txPr>
        <a:bodyPr rot="0" spcFirstLastPara="1" vertOverflow="ellipsis" vert="horz" wrap="square" anchor="ctr" anchorCtr="1"/>
        <a:lstStyle/>
        <a:p>
          <a:pPr algn="just">
            <a:defRPr sz="900" b="0" i="0" u="none" strike="noStrike" kern="1200" baseline="0">
              <a:solidFill>
                <a:schemeClr val="tx1"/>
              </a:solidFill>
              <a:latin typeface="Tahoma" pitchFamily="34" charset="0"/>
              <a:ea typeface="Tahoma" pitchFamily="34" charset="0"/>
              <a:cs typeface="Tahoma" pitchFamily="34" charset="0"/>
            </a:defRPr>
          </a:pPr>
          <a:endParaRPr lang="es-E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Tahoma" pitchFamily="34" charset="0"/>
          <a:ea typeface="Tahoma" pitchFamily="34" charset="0"/>
          <a:cs typeface="Tahoma" pitchFamily="34" charset="0"/>
        </a:defRPr>
      </a:pPr>
      <a:endParaRPr lang="es-E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s-ES" sz="1100" b="1" i="0" baseline="0">
                <a:effectLst/>
              </a:rPr>
              <a:t>PDD "Bogotá Mejor Para Todos" </a:t>
            </a:r>
            <a:endParaRPr lang="es-ES" sz="1100">
              <a:effectLst/>
            </a:endParaRPr>
          </a:p>
          <a:p>
            <a:pPr>
              <a:defRPr sz="1100" b="1" i="0" u="none" strike="noStrike" kern="1200" baseline="0">
                <a:solidFill>
                  <a:sysClr val="windowText" lastClr="000000"/>
                </a:solidFill>
                <a:latin typeface="+mn-lt"/>
                <a:ea typeface="+mn-ea"/>
                <a:cs typeface="+mn-cs"/>
              </a:defRPr>
            </a:pPr>
            <a:r>
              <a:rPr lang="es-ES" sz="1100" b="1" i="0" baseline="0">
                <a:effectLst/>
              </a:rPr>
              <a:t> Vigencia Segundo Semestre 2016</a:t>
            </a:r>
            <a:endParaRPr lang="es-ES" sz="1100">
              <a:effectLst/>
            </a:endParaRPr>
          </a:p>
        </c:rich>
      </c:tx>
      <c:overlay val="0"/>
      <c:spPr>
        <a:noFill/>
        <a:ln>
          <a:noFill/>
        </a:ln>
        <a:effectLst/>
      </c:spPr>
    </c:title>
    <c:autoTitleDeleted val="0"/>
    <c:plotArea>
      <c:layout/>
      <c:barChart>
        <c:barDir val="col"/>
        <c:grouping val="clustered"/>
        <c:varyColors val="0"/>
        <c:ser>
          <c:idx val="0"/>
          <c:order val="0"/>
          <c:tx>
            <c:strRef>
              <c:f>Hoja1!$B$3</c:f>
              <c:strCache>
                <c:ptCount val="1"/>
                <c:pt idx="0">
                  <c:v>Apropiación Disponible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Hoja1!$B$4:$B$7</c:f>
              <c:numCache>
                <c:formatCode>[$$-240A]\ #,##0</c:formatCode>
                <c:ptCount val="4"/>
                <c:pt idx="0">
                  <c:v>8871297406</c:v>
                </c:pt>
                <c:pt idx="1">
                  <c:v>165967130</c:v>
                </c:pt>
                <c:pt idx="2">
                  <c:v>505000000</c:v>
                </c:pt>
                <c:pt idx="3">
                  <c:v>9542264536</c:v>
                </c:pt>
              </c:numCache>
            </c:numRef>
          </c:val>
          <c:extLst>
            <c:ext xmlns:c16="http://schemas.microsoft.com/office/drawing/2014/chart" uri="{C3380CC4-5D6E-409C-BE32-E72D297353CC}">
              <c16:uniqueId val="{00000000-F776-4283-B925-7AD8CF71B745}"/>
            </c:ext>
          </c:extLst>
        </c:ser>
        <c:ser>
          <c:idx val="1"/>
          <c:order val="1"/>
          <c:tx>
            <c:strRef>
              <c:f>Hoja1!$C$3</c:f>
              <c:strCache>
                <c:ptCount val="1"/>
                <c:pt idx="0">
                  <c:v>Compromisos totales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Hoja1!$C$4:$C$7</c:f>
              <c:numCache>
                <c:formatCode>[$$-240A]\ #,##0</c:formatCode>
                <c:ptCount val="4"/>
                <c:pt idx="0">
                  <c:v>8677186585</c:v>
                </c:pt>
                <c:pt idx="1">
                  <c:v>165902833</c:v>
                </c:pt>
                <c:pt idx="2">
                  <c:v>493279234</c:v>
                </c:pt>
                <c:pt idx="3">
                  <c:v>9336368652</c:v>
                </c:pt>
              </c:numCache>
            </c:numRef>
          </c:val>
          <c:extLst>
            <c:ext xmlns:c16="http://schemas.microsoft.com/office/drawing/2014/chart" uri="{C3380CC4-5D6E-409C-BE32-E72D297353CC}">
              <c16:uniqueId val="{00000001-F776-4283-B925-7AD8CF71B745}"/>
            </c:ext>
          </c:extLst>
        </c:ser>
        <c:ser>
          <c:idx val="2"/>
          <c:order val="2"/>
          <c:tx>
            <c:strRef>
              <c:f>Hoja1!$E$3</c:f>
              <c:strCache>
                <c:ptCount val="1"/>
                <c:pt idx="0">
                  <c:v>Saldo Apropiación Disponible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Hoja1!$E$4:$E$7</c:f>
              <c:numCache>
                <c:formatCode>[$$-240A]\ #,##0</c:formatCode>
                <c:ptCount val="4"/>
                <c:pt idx="0">
                  <c:v>194110821</c:v>
                </c:pt>
                <c:pt idx="1">
                  <c:v>64297</c:v>
                </c:pt>
                <c:pt idx="2">
                  <c:v>11720766</c:v>
                </c:pt>
                <c:pt idx="3">
                  <c:v>205895884</c:v>
                </c:pt>
              </c:numCache>
            </c:numRef>
          </c:val>
          <c:extLst>
            <c:ext xmlns:c16="http://schemas.microsoft.com/office/drawing/2014/chart" uri="{C3380CC4-5D6E-409C-BE32-E72D297353CC}">
              <c16:uniqueId val="{00000002-F776-4283-B925-7AD8CF71B745}"/>
            </c:ext>
          </c:extLst>
        </c:ser>
        <c:dLbls>
          <c:showLegendKey val="0"/>
          <c:showVal val="0"/>
          <c:showCatName val="0"/>
          <c:showSerName val="0"/>
          <c:showPercent val="0"/>
          <c:showBubbleSize val="0"/>
        </c:dLbls>
        <c:gapWidth val="100"/>
        <c:overlap val="-24"/>
        <c:axId val="245835648"/>
        <c:axId val="245837184"/>
      </c:barChart>
      <c:catAx>
        <c:axId val="2458356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45837184"/>
        <c:crosses val="autoZero"/>
        <c:auto val="1"/>
        <c:lblAlgn val="ctr"/>
        <c:lblOffset val="100"/>
        <c:noMultiLvlLbl val="0"/>
      </c:catAx>
      <c:valAx>
        <c:axId val="245837184"/>
        <c:scaling>
          <c:orientation val="minMax"/>
        </c:scaling>
        <c:delete val="0"/>
        <c:axPos val="l"/>
        <c:majorGridlines>
          <c:spPr>
            <a:ln w="9525" cap="flat" cmpd="sng" algn="ctr">
              <a:solidFill>
                <a:schemeClr val="tx1">
                  <a:lumMod val="15000"/>
                  <a:lumOff val="85000"/>
                </a:schemeClr>
              </a:solidFill>
              <a:round/>
            </a:ln>
            <a:effectLst/>
          </c:spPr>
        </c:majorGridlines>
        <c:numFmt formatCode="[$$-240A]\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4583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rgbClr val="00B0F0"/>
      </a:solidFill>
      <a:round/>
    </a:ln>
    <a:effectLst>
      <a:outerShdw blurRad="57150" dist="19050" dir="5400000" algn="ctr" rotWithShape="0">
        <a:srgbClr val="000000">
          <a:alpha val="63000"/>
        </a:srgbClr>
      </a:outerShdw>
    </a:effectLst>
  </c:spPr>
  <c:txPr>
    <a:bodyPr/>
    <a:lstStyle/>
    <a:p>
      <a:pPr>
        <a:defRPr>
          <a:solidFill>
            <a:sysClr val="windowText" lastClr="000000"/>
          </a:solidFill>
          <a:latin typeface="+mn-lt"/>
          <a:ea typeface="+mn-ea"/>
          <a:cs typeface="+mn-cs"/>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s-ES" sz="1050"/>
              <a:t>Bogotá Mejor Para Todos - Vigencia 2017</a:t>
            </a:r>
          </a:p>
        </c:rich>
      </c:tx>
      <c:overlay val="0"/>
      <c:spPr>
        <a:noFill/>
        <a:ln>
          <a:noFill/>
        </a:ln>
        <a:effectLst/>
      </c:spPr>
    </c:title>
    <c:autoTitleDeleted val="0"/>
    <c:plotArea>
      <c:layout/>
      <c:barChart>
        <c:barDir val="col"/>
        <c:grouping val="clustered"/>
        <c:varyColors val="0"/>
        <c:ser>
          <c:idx val="0"/>
          <c:order val="0"/>
          <c:tx>
            <c:strRef>
              <c:f>Hoja1!$B$11</c:f>
              <c:strCache>
                <c:ptCount val="1"/>
                <c:pt idx="0">
                  <c:v>Apropiación Disponible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Hoja1!$B$12:$B$15</c:f>
              <c:numCache>
                <c:formatCode>[$$-240A]\ #,##0</c:formatCode>
                <c:ptCount val="4"/>
                <c:pt idx="0">
                  <c:v>10282716401</c:v>
                </c:pt>
                <c:pt idx="1">
                  <c:v>128333000</c:v>
                </c:pt>
                <c:pt idx="2">
                  <c:v>2122660000</c:v>
                </c:pt>
                <c:pt idx="3">
                  <c:v>12533709401</c:v>
                </c:pt>
              </c:numCache>
            </c:numRef>
          </c:val>
          <c:extLst>
            <c:ext xmlns:c16="http://schemas.microsoft.com/office/drawing/2014/chart" uri="{C3380CC4-5D6E-409C-BE32-E72D297353CC}">
              <c16:uniqueId val="{00000000-7817-4385-A7A1-30AD3CA700DF}"/>
            </c:ext>
          </c:extLst>
        </c:ser>
        <c:ser>
          <c:idx val="1"/>
          <c:order val="1"/>
          <c:tx>
            <c:strRef>
              <c:f>Hoja1!$C$11</c:f>
              <c:strCache>
                <c:ptCount val="1"/>
                <c:pt idx="0">
                  <c:v>Compromisos totales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Hoja1!$C$12:$C$15</c:f>
              <c:numCache>
                <c:formatCode>[$$-240A]\ #,##0</c:formatCode>
                <c:ptCount val="4"/>
                <c:pt idx="0">
                  <c:v>2397669253</c:v>
                </c:pt>
                <c:pt idx="1">
                  <c:v>100252448</c:v>
                </c:pt>
                <c:pt idx="2">
                  <c:v>1883648633</c:v>
                </c:pt>
                <c:pt idx="3">
                  <c:v>4381570334</c:v>
                </c:pt>
              </c:numCache>
            </c:numRef>
          </c:val>
          <c:extLst>
            <c:ext xmlns:c16="http://schemas.microsoft.com/office/drawing/2014/chart" uri="{C3380CC4-5D6E-409C-BE32-E72D297353CC}">
              <c16:uniqueId val="{00000001-7817-4385-A7A1-30AD3CA700DF}"/>
            </c:ext>
          </c:extLst>
        </c:ser>
        <c:ser>
          <c:idx val="2"/>
          <c:order val="2"/>
          <c:tx>
            <c:strRef>
              <c:f>Hoja1!$E$11</c:f>
              <c:strCache>
                <c:ptCount val="1"/>
                <c:pt idx="0">
                  <c:v>CDP por Comprometer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Hoja1!$E$12:$E$15</c:f>
              <c:numCache>
                <c:formatCode>[$$-240A]\ #,##0</c:formatCode>
                <c:ptCount val="4"/>
                <c:pt idx="0">
                  <c:v>6327441543</c:v>
                </c:pt>
                <c:pt idx="1">
                  <c:v>0</c:v>
                </c:pt>
                <c:pt idx="2">
                  <c:v>188308591</c:v>
                </c:pt>
                <c:pt idx="3">
                  <c:v>6515750134</c:v>
                </c:pt>
              </c:numCache>
            </c:numRef>
          </c:val>
          <c:extLst>
            <c:ext xmlns:c16="http://schemas.microsoft.com/office/drawing/2014/chart" uri="{C3380CC4-5D6E-409C-BE32-E72D297353CC}">
              <c16:uniqueId val="{00000002-7817-4385-A7A1-30AD3CA700DF}"/>
            </c:ext>
          </c:extLst>
        </c:ser>
        <c:ser>
          <c:idx val="3"/>
          <c:order val="3"/>
          <c:tx>
            <c:strRef>
              <c:f>Hoja1!$F$11</c:f>
              <c:strCache>
                <c:ptCount val="1"/>
                <c:pt idx="0">
                  <c:v>Saldo Apropiación Disponible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Hoja1!$F$12:$F$15</c:f>
              <c:numCache>
                <c:formatCode>[$$-240A]\ #,##0</c:formatCode>
                <c:ptCount val="4"/>
                <c:pt idx="0">
                  <c:v>1557605605</c:v>
                </c:pt>
                <c:pt idx="1">
                  <c:v>28080552</c:v>
                </c:pt>
                <c:pt idx="2">
                  <c:v>50702776</c:v>
                </c:pt>
                <c:pt idx="3">
                  <c:v>1636388933</c:v>
                </c:pt>
              </c:numCache>
            </c:numRef>
          </c:val>
          <c:extLst>
            <c:ext xmlns:c16="http://schemas.microsoft.com/office/drawing/2014/chart" uri="{C3380CC4-5D6E-409C-BE32-E72D297353CC}">
              <c16:uniqueId val="{00000003-7817-4385-A7A1-30AD3CA700DF}"/>
            </c:ext>
          </c:extLst>
        </c:ser>
        <c:dLbls>
          <c:showLegendKey val="0"/>
          <c:showVal val="0"/>
          <c:showCatName val="0"/>
          <c:showSerName val="0"/>
          <c:showPercent val="0"/>
          <c:showBubbleSize val="0"/>
        </c:dLbls>
        <c:gapWidth val="100"/>
        <c:overlap val="-24"/>
        <c:axId val="245960064"/>
        <c:axId val="245961856"/>
      </c:barChart>
      <c:catAx>
        <c:axId val="2459600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45961856"/>
        <c:crosses val="autoZero"/>
        <c:auto val="1"/>
        <c:lblAlgn val="ctr"/>
        <c:lblOffset val="100"/>
        <c:noMultiLvlLbl val="0"/>
      </c:catAx>
      <c:valAx>
        <c:axId val="245961856"/>
        <c:scaling>
          <c:orientation val="minMax"/>
        </c:scaling>
        <c:delete val="0"/>
        <c:axPos val="l"/>
        <c:majorGridlines>
          <c:spPr>
            <a:ln w="9525" cap="flat" cmpd="sng" algn="ctr">
              <a:solidFill>
                <a:schemeClr val="tx1">
                  <a:lumMod val="15000"/>
                  <a:lumOff val="85000"/>
                </a:schemeClr>
              </a:solidFill>
              <a:round/>
            </a:ln>
            <a:effectLst/>
          </c:spPr>
        </c:majorGridlines>
        <c:numFmt formatCode="[$$-240A]\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4596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rgbClr val="00B0F0"/>
      </a:solidFill>
      <a:round/>
    </a:ln>
    <a:effectLst>
      <a:outerShdw blurRad="57150" dist="19050" dir="5400000" algn="ctr" rotWithShape="0">
        <a:srgbClr val="000000">
          <a:alpha val="63000"/>
        </a:srgbClr>
      </a:outerShdw>
    </a:effectLst>
  </c:spPr>
  <c:txPr>
    <a:bodyPr/>
    <a:lstStyle/>
    <a:p>
      <a:pPr>
        <a:defRPr>
          <a:solidFill>
            <a:sysClr val="windowText" lastClr="000000"/>
          </a:solidFill>
          <a:latin typeface="+mn-lt"/>
          <a:ea typeface="+mn-ea"/>
          <a:cs typeface="+mn-cs"/>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ES" sz="1200"/>
              <a:t>HOGARES</a:t>
            </a:r>
            <a:r>
              <a:rPr lang="es-ES" sz="1200" baseline="0"/>
              <a:t> REASENTADOS EN EL AÑO 2017 POR LOCALIDAD</a:t>
            </a:r>
            <a:endParaRPr lang="es-ES" sz="1200"/>
          </a:p>
        </c:rich>
      </c:tx>
      <c:overlay val="0"/>
    </c:title>
    <c:autoTitleDeleted val="0"/>
    <c:plotArea>
      <c:layout/>
      <c:pieChart>
        <c:varyColors val="1"/>
        <c:ser>
          <c:idx val="1"/>
          <c:order val="0"/>
          <c:tx>
            <c:strRef>
              <c:f>Hoja1!$B$1</c:f>
              <c:strCache>
                <c:ptCount val="1"/>
                <c:pt idx="0">
                  <c:v>No. De hogares</c:v>
                </c:pt>
              </c:strCache>
            </c:strRef>
          </c:tx>
          <c:dPt>
            <c:idx val="0"/>
            <c:bubble3D val="0"/>
            <c:spPr>
              <a:solidFill>
                <a:srgbClr val="FF0066"/>
              </a:solidFill>
              <a:ln>
                <a:solidFill>
                  <a:srgbClr val="FF0066"/>
                </a:solidFill>
              </a:ln>
              <a:scene3d>
                <a:camera prst="orthographicFront"/>
                <a:lightRig rig="threePt" dir="t"/>
              </a:scene3d>
              <a:sp3d>
                <a:bevelT/>
              </a:sp3d>
            </c:spPr>
            <c:extLst>
              <c:ext xmlns:c16="http://schemas.microsoft.com/office/drawing/2014/chart" uri="{C3380CC4-5D6E-409C-BE32-E72D297353CC}">
                <c16:uniqueId val="{00000001-F581-43EA-8C59-46F44FC9BEFD}"/>
              </c:ext>
            </c:extLst>
          </c:dPt>
          <c:dPt>
            <c:idx val="1"/>
            <c:bubble3D val="0"/>
            <c:spPr>
              <a:solidFill>
                <a:srgbClr val="6600CC"/>
              </a:solidFill>
              <a:ln>
                <a:solidFill>
                  <a:srgbClr val="6600CC"/>
                </a:solidFill>
              </a:ln>
              <a:scene3d>
                <a:camera prst="orthographicFront"/>
                <a:lightRig rig="threePt" dir="t"/>
              </a:scene3d>
              <a:sp3d>
                <a:bevelT/>
              </a:sp3d>
            </c:spPr>
            <c:extLst>
              <c:ext xmlns:c16="http://schemas.microsoft.com/office/drawing/2014/chart" uri="{C3380CC4-5D6E-409C-BE32-E72D297353CC}">
                <c16:uniqueId val="{00000003-F581-43EA-8C59-46F44FC9BEFD}"/>
              </c:ext>
            </c:extLst>
          </c:dPt>
          <c:dPt>
            <c:idx val="2"/>
            <c:bubble3D val="0"/>
            <c:spPr>
              <a:solidFill>
                <a:schemeClr val="bg2">
                  <a:lumMod val="50000"/>
                </a:schemeClr>
              </a:solidFill>
              <a:ln>
                <a:solidFill>
                  <a:schemeClr val="bg2">
                    <a:lumMod val="50000"/>
                  </a:schemeClr>
                </a:solidFill>
              </a:ln>
              <a:scene3d>
                <a:camera prst="orthographicFront"/>
                <a:lightRig rig="threePt" dir="t"/>
              </a:scene3d>
              <a:sp3d>
                <a:bevelT/>
              </a:sp3d>
            </c:spPr>
            <c:extLst>
              <c:ext xmlns:c16="http://schemas.microsoft.com/office/drawing/2014/chart" uri="{C3380CC4-5D6E-409C-BE32-E72D297353CC}">
                <c16:uniqueId val="{00000005-F581-43EA-8C59-46F44FC9BEFD}"/>
              </c:ext>
            </c:extLst>
          </c:dPt>
          <c:dPt>
            <c:idx val="3"/>
            <c:bubble3D val="0"/>
            <c:spPr>
              <a:solidFill>
                <a:srgbClr val="CC00FF"/>
              </a:solidFill>
              <a:ln>
                <a:solidFill>
                  <a:srgbClr val="CC00FF"/>
                </a:solidFill>
              </a:ln>
              <a:scene3d>
                <a:camera prst="orthographicFront"/>
                <a:lightRig rig="threePt" dir="t"/>
              </a:scene3d>
              <a:sp3d>
                <a:bevelT/>
              </a:sp3d>
            </c:spPr>
            <c:extLst>
              <c:ext xmlns:c16="http://schemas.microsoft.com/office/drawing/2014/chart" uri="{C3380CC4-5D6E-409C-BE32-E72D297353CC}">
                <c16:uniqueId val="{00000007-F581-43EA-8C59-46F44FC9BEFD}"/>
              </c:ext>
            </c:extLst>
          </c:dPt>
          <c:dPt>
            <c:idx val="4"/>
            <c:bubble3D val="0"/>
            <c:spPr>
              <a:solidFill>
                <a:srgbClr val="0070C0"/>
              </a:solidFill>
              <a:ln>
                <a:solidFill>
                  <a:srgbClr val="0070C0"/>
                </a:solidFill>
              </a:ln>
              <a:scene3d>
                <a:camera prst="orthographicFront"/>
                <a:lightRig rig="threePt" dir="t"/>
              </a:scene3d>
              <a:sp3d>
                <a:bevelT/>
              </a:sp3d>
            </c:spPr>
            <c:extLst>
              <c:ext xmlns:c16="http://schemas.microsoft.com/office/drawing/2014/chart" uri="{C3380CC4-5D6E-409C-BE32-E72D297353CC}">
                <c16:uniqueId val="{00000009-F581-43EA-8C59-46F44FC9BEFD}"/>
              </c:ext>
            </c:extLst>
          </c:dPt>
          <c:dPt>
            <c:idx val="6"/>
            <c:bubble3D val="0"/>
            <c:spPr>
              <a:solidFill>
                <a:srgbClr val="FFC000"/>
              </a:solidFill>
              <a:ln>
                <a:solidFill>
                  <a:srgbClr val="FFC000"/>
                </a:solidFill>
              </a:ln>
              <a:scene3d>
                <a:camera prst="orthographicFront"/>
                <a:lightRig rig="threePt" dir="t"/>
              </a:scene3d>
              <a:sp3d>
                <a:bevelT/>
              </a:sp3d>
            </c:spPr>
            <c:extLst>
              <c:ext xmlns:c16="http://schemas.microsoft.com/office/drawing/2014/chart" uri="{C3380CC4-5D6E-409C-BE32-E72D297353CC}">
                <c16:uniqueId val="{0000000B-F581-43EA-8C59-46F44FC9BEFD}"/>
              </c:ext>
            </c:extLst>
          </c:dPt>
          <c:dPt>
            <c:idx val="7"/>
            <c:bubble3D val="0"/>
            <c:spPr>
              <a:solidFill>
                <a:srgbClr val="FF0000"/>
              </a:solidFill>
              <a:ln>
                <a:solidFill>
                  <a:srgbClr val="FF0000"/>
                </a:solidFill>
              </a:ln>
              <a:scene3d>
                <a:camera prst="orthographicFront"/>
                <a:lightRig rig="threePt" dir="t"/>
              </a:scene3d>
              <a:sp3d>
                <a:bevelT/>
              </a:sp3d>
            </c:spPr>
            <c:extLst>
              <c:ext xmlns:c16="http://schemas.microsoft.com/office/drawing/2014/chart" uri="{C3380CC4-5D6E-409C-BE32-E72D297353CC}">
                <c16:uniqueId val="{0000000D-F581-43EA-8C59-46F44FC9BEFD}"/>
              </c:ext>
            </c:extLst>
          </c:dPt>
          <c:dPt>
            <c:idx val="8"/>
            <c:bubble3D val="0"/>
            <c:spPr>
              <a:solidFill>
                <a:srgbClr val="00B0F0"/>
              </a:solidFill>
              <a:ln>
                <a:solidFill>
                  <a:srgbClr val="00B0F0"/>
                </a:solidFill>
              </a:ln>
              <a:scene3d>
                <a:camera prst="orthographicFront"/>
                <a:lightRig rig="threePt" dir="t"/>
              </a:scene3d>
              <a:sp3d>
                <a:bevelT/>
              </a:sp3d>
            </c:spPr>
            <c:extLst>
              <c:ext xmlns:c16="http://schemas.microsoft.com/office/drawing/2014/chart" uri="{C3380CC4-5D6E-409C-BE32-E72D297353CC}">
                <c16:uniqueId val="{0000000F-F581-43EA-8C59-46F44FC9BEFD}"/>
              </c:ext>
            </c:extLst>
          </c:dPt>
          <c:dPt>
            <c:idx val="9"/>
            <c:bubble3D val="0"/>
            <c:spPr>
              <a:solidFill>
                <a:srgbClr val="00B050"/>
              </a:solidFill>
              <a:ln>
                <a:solidFill>
                  <a:srgbClr val="00B050"/>
                </a:solidFill>
              </a:ln>
              <a:scene3d>
                <a:camera prst="orthographicFront"/>
                <a:lightRig rig="threePt" dir="t"/>
              </a:scene3d>
              <a:sp3d>
                <a:bevelT/>
              </a:sp3d>
            </c:spPr>
            <c:extLst>
              <c:ext xmlns:c16="http://schemas.microsoft.com/office/drawing/2014/chart" uri="{C3380CC4-5D6E-409C-BE32-E72D297353CC}">
                <c16:uniqueId val="{00000011-F581-43EA-8C59-46F44FC9BEFD}"/>
              </c:ext>
            </c:extLst>
          </c:dPt>
          <c:dPt>
            <c:idx val="10"/>
            <c:bubble3D val="0"/>
            <c:spPr>
              <a:solidFill>
                <a:srgbClr val="3333CC"/>
              </a:solidFill>
              <a:ln>
                <a:solidFill>
                  <a:srgbClr val="3333CC"/>
                </a:solidFill>
              </a:ln>
              <a:scene3d>
                <a:camera prst="orthographicFront"/>
                <a:lightRig rig="threePt" dir="t"/>
              </a:scene3d>
              <a:sp3d>
                <a:bevelT/>
              </a:sp3d>
            </c:spPr>
            <c:extLst>
              <c:ext xmlns:c16="http://schemas.microsoft.com/office/drawing/2014/chart" uri="{C3380CC4-5D6E-409C-BE32-E72D297353CC}">
                <c16:uniqueId val="{00000013-F581-43EA-8C59-46F44FC9BEFD}"/>
              </c:ext>
            </c:extLst>
          </c:dPt>
          <c:dPt>
            <c:idx val="11"/>
            <c:bubble3D val="0"/>
            <c:spPr>
              <a:solidFill>
                <a:srgbClr val="66FF33"/>
              </a:solidFill>
              <a:ln>
                <a:solidFill>
                  <a:srgbClr val="66FF33"/>
                </a:solidFill>
              </a:ln>
              <a:scene3d>
                <a:camera prst="orthographicFront"/>
                <a:lightRig rig="threePt" dir="t"/>
              </a:scene3d>
              <a:sp3d>
                <a:bevelT/>
              </a:sp3d>
            </c:spPr>
            <c:extLst>
              <c:ext xmlns:c16="http://schemas.microsoft.com/office/drawing/2014/chart" uri="{C3380CC4-5D6E-409C-BE32-E72D297353CC}">
                <c16:uniqueId val="{00000015-F581-43EA-8C59-46F44FC9BEFD}"/>
              </c:ext>
            </c:extLst>
          </c:dPt>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3</c:v>
                </c:pt>
                <c:pt idx="2">
                  <c:v>23</c:v>
                </c:pt>
                <c:pt idx="3">
                  <c:v>103</c:v>
                </c:pt>
                <c:pt idx="4">
                  <c:v>81</c:v>
                </c:pt>
                <c:pt idx="6">
                  <c:v>11</c:v>
                </c:pt>
                <c:pt idx="7">
                  <c:v>13</c:v>
                </c:pt>
                <c:pt idx="8">
                  <c:v>55</c:v>
                </c:pt>
                <c:pt idx="9">
                  <c:v>722</c:v>
                </c:pt>
                <c:pt idx="10">
                  <c:v>2</c:v>
                </c:pt>
              </c:numCache>
            </c:numRef>
          </c:val>
          <c:extLst>
            <c:ext xmlns:c16="http://schemas.microsoft.com/office/drawing/2014/chart" uri="{C3380CC4-5D6E-409C-BE32-E72D297353CC}">
              <c16:uniqueId val="{00000016-F581-43EA-8C59-46F44FC9BEFD}"/>
            </c:ext>
          </c:extLst>
        </c:ser>
        <c:ser>
          <c:idx val="0"/>
          <c:order val="1"/>
          <c:tx>
            <c:strRef>
              <c:f>Hoja1!$B$1</c:f>
              <c:strCache>
                <c:ptCount val="1"/>
                <c:pt idx="0">
                  <c:v>No. De hogares</c:v>
                </c:pt>
              </c:strCache>
            </c:strRef>
          </c:tx>
          <c:dPt>
            <c:idx val="0"/>
            <c:bubble3D val="0"/>
            <c:spPr>
              <a:solidFill>
                <a:srgbClr val="FF0066"/>
              </a:solidFill>
              <a:ln w="19050">
                <a:solidFill>
                  <a:srgbClr val="FF0066"/>
                </a:solidFill>
              </a:ln>
              <a:effectLst/>
              <a:scene3d>
                <a:camera prst="orthographicFront"/>
                <a:lightRig rig="threePt" dir="t"/>
              </a:scene3d>
              <a:sp3d>
                <a:bevelT/>
              </a:sp3d>
            </c:spPr>
            <c:extLst>
              <c:ext xmlns:c16="http://schemas.microsoft.com/office/drawing/2014/chart" uri="{C3380CC4-5D6E-409C-BE32-E72D297353CC}">
                <c16:uniqueId val="{00000018-F581-43EA-8C59-46F44FC9BEFD}"/>
              </c:ext>
            </c:extLst>
          </c:dPt>
          <c:dPt>
            <c:idx val="1"/>
            <c:bubble3D val="0"/>
            <c:spPr>
              <a:solidFill>
                <a:srgbClr val="6600CC"/>
              </a:solidFill>
              <a:ln w="19050">
                <a:solidFill>
                  <a:srgbClr val="6600CC"/>
                </a:solidFill>
              </a:ln>
              <a:effectLst/>
              <a:scene3d>
                <a:camera prst="orthographicFront"/>
                <a:lightRig rig="threePt" dir="t"/>
              </a:scene3d>
              <a:sp3d>
                <a:bevelT/>
              </a:sp3d>
            </c:spPr>
            <c:extLst>
              <c:ext xmlns:c16="http://schemas.microsoft.com/office/drawing/2014/chart" uri="{C3380CC4-5D6E-409C-BE32-E72D297353CC}">
                <c16:uniqueId val="{0000001A-F581-43EA-8C59-46F44FC9BEFD}"/>
              </c:ext>
            </c:extLst>
          </c:dPt>
          <c:dPt>
            <c:idx val="2"/>
            <c:bubble3D val="0"/>
            <c:spPr>
              <a:solidFill>
                <a:schemeClr val="bg2">
                  <a:lumMod val="50000"/>
                </a:schemeClr>
              </a:solidFill>
              <a:ln w="19050">
                <a:solidFill>
                  <a:schemeClr val="bg2">
                    <a:lumMod val="50000"/>
                  </a:schemeClr>
                </a:solidFill>
              </a:ln>
              <a:effectLst/>
              <a:scene3d>
                <a:camera prst="orthographicFront"/>
                <a:lightRig rig="threePt" dir="t"/>
              </a:scene3d>
              <a:sp3d>
                <a:bevelT/>
              </a:sp3d>
            </c:spPr>
            <c:extLst>
              <c:ext xmlns:c16="http://schemas.microsoft.com/office/drawing/2014/chart" uri="{C3380CC4-5D6E-409C-BE32-E72D297353CC}">
                <c16:uniqueId val="{0000001C-F581-43EA-8C59-46F44FC9BEFD}"/>
              </c:ext>
            </c:extLst>
          </c:dPt>
          <c:dPt>
            <c:idx val="3"/>
            <c:bubble3D val="0"/>
            <c:spPr>
              <a:solidFill>
                <a:srgbClr val="CC00FF"/>
              </a:solidFill>
              <a:ln w="19050">
                <a:solidFill>
                  <a:srgbClr val="CC00FF"/>
                </a:solidFill>
              </a:ln>
              <a:effectLst/>
              <a:scene3d>
                <a:camera prst="orthographicFront"/>
                <a:lightRig rig="threePt" dir="t"/>
              </a:scene3d>
              <a:sp3d>
                <a:bevelT/>
              </a:sp3d>
            </c:spPr>
            <c:extLst>
              <c:ext xmlns:c16="http://schemas.microsoft.com/office/drawing/2014/chart" uri="{C3380CC4-5D6E-409C-BE32-E72D297353CC}">
                <c16:uniqueId val="{0000001E-F581-43EA-8C59-46F44FC9BEFD}"/>
              </c:ext>
            </c:extLst>
          </c:dPt>
          <c:dPt>
            <c:idx val="4"/>
            <c:bubble3D val="0"/>
            <c:spPr>
              <a:solidFill>
                <a:srgbClr val="0070C0"/>
              </a:solidFill>
              <a:ln w="19050">
                <a:solidFill>
                  <a:srgbClr val="0070C0"/>
                </a:solidFill>
              </a:ln>
              <a:effectLst/>
              <a:scene3d>
                <a:camera prst="orthographicFront"/>
                <a:lightRig rig="threePt" dir="t"/>
              </a:scene3d>
              <a:sp3d>
                <a:bevelT/>
              </a:sp3d>
            </c:spPr>
            <c:extLst>
              <c:ext xmlns:c16="http://schemas.microsoft.com/office/drawing/2014/chart" uri="{C3380CC4-5D6E-409C-BE32-E72D297353CC}">
                <c16:uniqueId val="{00000020-F581-43EA-8C59-46F44FC9BE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2-F581-43EA-8C59-46F44FC9BEFD}"/>
              </c:ext>
            </c:extLst>
          </c:dPt>
          <c:dPt>
            <c:idx val="6"/>
            <c:bubble3D val="0"/>
            <c:spPr>
              <a:solidFill>
                <a:srgbClr val="FFC000"/>
              </a:solidFill>
              <a:ln w="19050">
                <a:solidFill>
                  <a:srgbClr val="FFC000"/>
                </a:solidFill>
              </a:ln>
              <a:effectLst/>
              <a:scene3d>
                <a:camera prst="orthographicFront"/>
                <a:lightRig rig="threePt" dir="t"/>
              </a:scene3d>
              <a:sp3d>
                <a:bevelT/>
              </a:sp3d>
            </c:spPr>
            <c:extLst>
              <c:ext xmlns:c16="http://schemas.microsoft.com/office/drawing/2014/chart" uri="{C3380CC4-5D6E-409C-BE32-E72D297353CC}">
                <c16:uniqueId val="{00000024-F581-43EA-8C59-46F44FC9BEFD}"/>
              </c:ext>
            </c:extLst>
          </c:dPt>
          <c:dPt>
            <c:idx val="7"/>
            <c:bubble3D val="0"/>
            <c:spPr>
              <a:solidFill>
                <a:srgbClr val="FF0000"/>
              </a:solidFill>
              <a:ln w="19050">
                <a:solidFill>
                  <a:srgbClr val="FF0000"/>
                </a:solidFill>
              </a:ln>
              <a:effectLst/>
              <a:scene3d>
                <a:camera prst="orthographicFront"/>
                <a:lightRig rig="threePt" dir="t"/>
              </a:scene3d>
              <a:sp3d>
                <a:bevelT/>
              </a:sp3d>
            </c:spPr>
            <c:extLst>
              <c:ext xmlns:c16="http://schemas.microsoft.com/office/drawing/2014/chart" uri="{C3380CC4-5D6E-409C-BE32-E72D297353CC}">
                <c16:uniqueId val="{00000026-F581-43EA-8C59-46F44FC9BEFD}"/>
              </c:ext>
            </c:extLst>
          </c:dPt>
          <c:dPt>
            <c:idx val="8"/>
            <c:bubble3D val="0"/>
            <c:spPr>
              <a:solidFill>
                <a:srgbClr val="00B0F0"/>
              </a:solidFill>
              <a:ln w="19050">
                <a:solidFill>
                  <a:srgbClr val="00B0F0"/>
                </a:solidFill>
              </a:ln>
              <a:effectLst/>
              <a:scene3d>
                <a:camera prst="orthographicFront"/>
                <a:lightRig rig="threePt" dir="t"/>
              </a:scene3d>
              <a:sp3d>
                <a:bevelT/>
              </a:sp3d>
            </c:spPr>
            <c:extLst>
              <c:ext xmlns:c16="http://schemas.microsoft.com/office/drawing/2014/chart" uri="{C3380CC4-5D6E-409C-BE32-E72D297353CC}">
                <c16:uniqueId val="{00000028-F581-43EA-8C59-46F44FC9BEFD}"/>
              </c:ext>
            </c:extLst>
          </c:dPt>
          <c:dPt>
            <c:idx val="9"/>
            <c:bubble3D val="0"/>
            <c:spPr>
              <a:solidFill>
                <a:srgbClr val="00B050"/>
              </a:solidFill>
              <a:ln w="19050">
                <a:solidFill>
                  <a:srgbClr val="00B050"/>
                </a:solidFill>
              </a:ln>
              <a:effectLst/>
              <a:scene3d>
                <a:camera prst="orthographicFront"/>
                <a:lightRig rig="threePt" dir="t"/>
              </a:scene3d>
              <a:sp3d>
                <a:bevelT/>
              </a:sp3d>
            </c:spPr>
            <c:extLst>
              <c:ext xmlns:c16="http://schemas.microsoft.com/office/drawing/2014/chart" uri="{C3380CC4-5D6E-409C-BE32-E72D297353CC}">
                <c16:uniqueId val="{0000002A-F581-43EA-8C59-46F44FC9BEFD}"/>
              </c:ext>
            </c:extLst>
          </c:dPt>
          <c:dPt>
            <c:idx val="10"/>
            <c:bubble3D val="0"/>
            <c:spPr>
              <a:solidFill>
                <a:srgbClr val="3333CC"/>
              </a:solidFill>
              <a:ln w="19050">
                <a:solidFill>
                  <a:srgbClr val="3333CC"/>
                </a:solidFill>
              </a:ln>
              <a:effectLst/>
              <a:scene3d>
                <a:camera prst="orthographicFront"/>
                <a:lightRig rig="threePt" dir="t"/>
              </a:scene3d>
              <a:sp3d>
                <a:bevelT/>
              </a:sp3d>
            </c:spPr>
            <c:extLst>
              <c:ext xmlns:c16="http://schemas.microsoft.com/office/drawing/2014/chart" uri="{C3380CC4-5D6E-409C-BE32-E72D297353CC}">
                <c16:uniqueId val="{0000002C-F581-43EA-8C59-46F44FC9BEFD}"/>
              </c:ext>
            </c:extLst>
          </c:dPt>
          <c:dPt>
            <c:idx val="11"/>
            <c:bubble3D val="0"/>
            <c:spPr>
              <a:solidFill>
                <a:srgbClr val="66FF33"/>
              </a:solidFill>
              <a:ln w="19050">
                <a:solidFill>
                  <a:srgbClr val="66FF33"/>
                </a:solidFill>
              </a:ln>
              <a:effectLst/>
              <a:scene3d>
                <a:camera prst="orthographicFront"/>
                <a:lightRig rig="threePt" dir="t"/>
              </a:scene3d>
              <a:sp3d>
                <a:bevelT/>
              </a:sp3d>
            </c:spPr>
            <c:extLst>
              <c:ext xmlns:c16="http://schemas.microsoft.com/office/drawing/2014/chart" uri="{C3380CC4-5D6E-409C-BE32-E72D297353CC}">
                <c16:uniqueId val="{0000002E-F581-43EA-8C59-46F44FC9BE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3</c:v>
                </c:pt>
                <c:pt idx="2">
                  <c:v>23</c:v>
                </c:pt>
                <c:pt idx="3">
                  <c:v>103</c:v>
                </c:pt>
                <c:pt idx="4">
                  <c:v>81</c:v>
                </c:pt>
                <c:pt idx="6">
                  <c:v>11</c:v>
                </c:pt>
                <c:pt idx="7">
                  <c:v>13</c:v>
                </c:pt>
                <c:pt idx="8">
                  <c:v>55</c:v>
                </c:pt>
                <c:pt idx="9">
                  <c:v>722</c:v>
                </c:pt>
                <c:pt idx="10">
                  <c:v>2</c:v>
                </c:pt>
              </c:numCache>
            </c:numRef>
          </c:val>
          <c:extLst>
            <c:ext xmlns:c16="http://schemas.microsoft.com/office/drawing/2014/chart" uri="{C3380CC4-5D6E-409C-BE32-E72D297353CC}">
              <c16:uniqueId val="{0000002F-F581-43EA-8C59-46F44FC9BEFD}"/>
            </c:ext>
          </c:extLst>
        </c:ser>
        <c:dLbls>
          <c:showLegendKey val="0"/>
          <c:showVal val="1"/>
          <c:showCatName val="1"/>
          <c:showSerName val="0"/>
          <c:showPercent val="0"/>
          <c:showBubbleSize val="0"/>
          <c:showLeaderLines val="1"/>
        </c:dLbls>
        <c:firstSliceAng val="0"/>
      </c:pieChart>
    </c:plotArea>
    <c:plotVisOnly val="1"/>
    <c:dispBlanksAs val="gap"/>
    <c:showDLblsOverMax val="0"/>
  </c:chart>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ES" sz="1200"/>
              <a:t>HOGARES</a:t>
            </a:r>
            <a:r>
              <a:rPr lang="es-ES" sz="1200" baseline="0"/>
              <a:t> CON SELECCIÓN DE VIVIENDA EN EL AÑO 2017 POR LOCALIDAD</a:t>
            </a:r>
            <a:endParaRPr lang="es-ES" sz="1200"/>
          </a:p>
        </c:rich>
      </c:tx>
      <c:overlay val="0"/>
    </c:title>
    <c:autoTitleDeleted val="0"/>
    <c:plotArea>
      <c:layout/>
      <c:pieChart>
        <c:varyColors val="1"/>
        <c:ser>
          <c:idx val="1"/>
          <c:order val="0"/>
          <c:tx>
            <c:strRef>
              <c:f>Hoja1!$B$1</c:f>
              <c:strCache>
                <c:ptCount val="1"/>
                <c:pt idx="0">
                  <c:v>No. De hogares</c:v>
                </c:pt>
              </c:strCache>
            </c:strRef>
          </c:tx>
          <c:dPt>
            <c:idx val="0"/>
            <c:bubble3D val="0"/>
            <c:spPr>
              <a:solidFill>
                <a:srgbClr val="FF0066"/>
              </a:solidFill>
              <a:ln>
                <a:solidFill>
                  <a:srgbClr val="FF0066"/>
                </a:solidFill>
              </a:ln>
              <a:scene3d>
                <a:camera prst="orthographicFront"/>
                <a:lightRig rig="threePt" dir="t"/>
              </a:scene3d>
              <a:sp3d>
                <a:bevelT/>
              </a:sp3d>
            </c:spPr>
            <c:extLst>
              <c:ext xmlns:c16="http://schemas.microsoft.com/office/drawing/2014/chart" uri="{C3380CC4-5D6E-409C-BE32-E72D297353CC}">
                <c16:uniqueId val="{00000001-B939-48EF-B434-282877C334F7}"/>
              </c:ext>
            </c:extLst>
          </c:dPt>
          <c:dPt>
            <c:idx val="1"/>
            <c:bubble3D val="0"/>
            <c:spPr>
              <a:solidFill>
                <a:srgbClr val="6600CC"/>
              </a:solidFill>
              <a:ln>
                <a:solidFill>
                  <a:srgbClr val="6600CC"/>
                </a:solidFill>
              </a:ln>
              <a:scene3d>
                <a:camera prst="orthographicFront"/>
                <a:lightRig rig="threePt" dir="t"/>
              </a:scene3d>
              <a:sp3d>
                <a:bevelT/>
              </a:sp3d>
            </c:spPr>
            <c:extLst>
              <c:ext xmlns:c16="http://schemas.microsoft.com/office/drawing/2014/chart" uri="{C3380CC4-5D6E-409C-BE32-E72D297353CC}">
                <c16:uniqueId val="{00000003-B939-48EF-B434-282877C334F7}"/>
              </c:ext>
            </c:extLst>
          </c:dPt>
          <c:dPt>
            <c:idx val="2"/>
            <c:bubble3D val="0"/>
            <c:spPr>
              <a:solidFill>
                <a:schemeClr val="bg2">
                  <a:lumMod val="50000"/>
                </a:schemeClr>
              </a:solidFill>
              <a:ln>
                <a:solidFill>
                  <a:schemeClr val="bg2">
                    <a:lumMod val="50000"/>
                  </a:schemeClr>
                </a:solidFill>
              </a:ln>
              <a:scene3d>
                <a:camera prst="orthographicFront"/>
                <a:lightRig rig="threePt" dir="t"/>
              </a:scene3d>
              <a:sp3d>
                <a:bevelT/>
              </a:sp3d>
            </c:spPr>
            <c:extLst>
              <c:ext xmlns:c16="http://schemas.microsoft.com/office/drawing/2014/chart" uri="{C3380CC4-5D6E-409C-BE32-E72D297353CC}">
                <c16:uniqueId val="{00000005-B939-48EF-B434-282877C334F7}"/>
              </c:ext>
            </c:extLst>
          </c:dPt>
          <c:dPt>
            <c:idx val="3"/>
            <c:bubble3D val="0"/>
            <c:spPr>
              <a:solidFill>
                <a:srgbClr val="CC00FF"/>
              </a:solidFill>
              <a:ln>
                <a:solidFill>
                  <a:srgbClr val="CC00FF"/>
                </a:solidFill>
              </a:ln>
              <a:scene3d>
                <a:camera prst="orthographicFront"/>
                <a:lightRig rig="threePt" dir="t"/>
              </a:scene3d>
              <a:sp3d>
                <a:bevelT/>
              </a:sp3d>
            </c:spPr>
            <c:extLst>
              <c:ext xmlns:c16="http://schemas.microsoft.com/office/drawing/2014/chart" uri="{C3380CC4-5D6E-409C-BE32-E72D297353CC}">
                <c16:uniqueId val="{00000007-B939-48EF-B434-282877C334F7}"/>
              </c:ext>
            </c:extLst>
          </c:dPt>
          <c:dPt>
            <c:idx val="4"/>
            <c:bubble3D val="0"/>
            <c:spPr>
              <a:solidFill>
                <a:srgbClr val="0070C0"/>
              </a:solidFill>
              <a:ln>
                <a:solidFill>
                  <a:srgbClr val="0070C0"/>
                </a:solidFill>
              </a:ln>
              <a:scene3d>
                <a:camera prst="orthographicFront"/>
                <a:lightRig rig="threePt" dir="t"/>
              </a:scene3d>
              <a:sp3d>
                <a:bevelT/>
              </a:sp3d>
            </c:spPr>
            <c:extLst>
              <c:ext xmlns:c16="http://schemas.microsoft.com/office/drawing/2014/chart" uri="{C3380CC4-5D6E-409C-BE32-E72D297353CC}">
                <c16:uniqueId val="{00000009-B939-48EF-B434-282877C334F7}"/>
              </c:ext>
            </c:extLst>
          </c:dPt>
          <c:dPt>
            <c:idx val="6"/>
            <c:bubble3D val="0"/>
            <c:spPr>
              <a:solidFill>
                <a:srgbClr val="FFC000"/>
              </a:solidFill>
              <a:ln>
                <a:solidFill>
                  <a:srgbClr val="FFC000"/>
                </a:solidFill>
              </a:ln>
              <a:scene3d>
                <a:camera prst="orthographicFront"/>
                <a:lightRig rig="threePt" dir="t"/>
              </a:scene3d>
              <a:sp3d>
                <a:bevelT/>
              </a:sp3d>
            </c:spPr>
            <c:extLst>
              <c:ext xmlns:c16="http://schemas.microsoft.com/office/drawing/2014/chart" uri="{C3380CC4-5D6E-409C-BE32-E72D297353CC}">
                <c16:uniqueId val="{0000000B-B939-48EF-B434-282877C334F7}"/>
              </c:ext>
            </c:extLst>
          </c:dPt>
          <c:dPt>
            <c:idx val="7"/>
            <c:bubble3D val="0"/>
            <c:spPr>
              <a:solidFill>
                <a:srgbClr val="FF0000"/>
              </a:solidFill>
              <a:ln>
                <a:solidFill>
                  <a:srgbClr val="FF0000"/>
                </a:solidFill>
              </a:ln>
              <a:scene3d>
                <a:camera prst="orthographicFront"/>
                <a:lightRig rig="threePt" dir="t"/>
              </a:scene3d>
              <a:sp3d>
                <a:bevelT/>
              </a:sp3d>
            </c:spPr>
            <c:extLst>
              <c:ext xmlns:c16="http://schemas.microsoft.com/office/drawing/2014/chart" uri="{C3380CC4-5D6E-409C-BE32-E72D297353CC}">
                <c16:uniqueId val="{0000000D-B939-48EF-B434-282877C334F7}"/>
              </c:ext>
            </c:extLst>
          </c:dPt>
          <c:dPt>
            <c:idx val="8"/>
            <c:bubble3D val="0"/>
            <c:spPr>
              <a:solidFill>
                <a:srgbClr val="00B0F0"/>
              </a:solidFill>
              <a:ln>
                <a:solidFill>
                  <a:srgbClr val="00B0F0"/>
                </a:solidFill>
              </a:ln>
              <a:scene3d>
                <a:camera prst="orthographicFront"/>
                <a:lightRig rig="threePt" dir="t"/>
              </a:scene3d>
              <a:sp3d>
                <a:bevelT/>
              </a:sp3d>
            </c:spPr>
            <c:extLst>
              <c:ext xmlns:c16="http://schemas.microsoft.com/office/drawing/2014/chart" uri="{C3380CC4-5D6E-409C-BE32-E72D297353CC}">
                <c16:uniqueId val="{0000000F-B939-48EF-B434-282877C334F7}"/>
              </c:ext>
            </c:extLst>
          </c:dPt>
          <c:dPt>
            <c:idx val="9"/>
            <c:bubble3D val="0"/>
            <c:spPr>
              <a:solidFill>
                <a:srgbClr val="00B050"/>
              </a:solidFill>
              <a:ln>
                <a:solidFill>
                  <a:srgbClr val="00B050"/>
                </a:solidFill>
              </a:ln>
              <a:scene3d>
                <a:camera prst="orthographicFront"/>
                <a:lightRig rig="threePt" dir="t"/>
              </a:scene3d>
              <a:sp3d>
                <a:bevelT/>
              </a:sp3d>
            </c:spPr>
            <c:extLst>
              <c:ext xmlns:c16="http://schemas.microsoft.com/office/drawing/2014/chart" uri="{C3380CC4-5D6E-409C-BE32-E72D297353CC}">
                <c16:uniqueId val="{00000011-B939-48EF-B434-282877C334F7}"/>
              </c:ext>
            </c:extLst>
          </c:dPt>
          <c:dPt>
            <c:idx val="10"/>
            <c:bubble3D val="0"/>
            <c:spPr>
              <a:solidFill>
                <a:srgbClr val="3333CC"/>
              </a:solidFill>
              <a:ln>
                <a:solidFill>
                  <a:srgbClr val="3333CC"/>
                </a:solidFill>
              </a:ln>
              <a:scene3d>
                <a:camera prst="orthographicFront"/>
                <a:lightRig rig="threePt" dir="t"/>
              </a:scene3d>
              <a:sp3d>
                <a:bevelT/>
              </a:sp3d>
            </c:spPr>
            <c:extLst>
              <c:ext xmlns:c16="http://schemas.microsoft.com/office/drawing/2014/chart" uri="{C3380CC4-5D6E-409C-BE32-E72D297353CC}">
                <c16:uniqueId val="{00000013-B939-48EF-B434-282877C334F7}"/>
              </c:ext>
            </c:extLst>
          </c:dPt>
          <c:dPt>
            <c:idx val="11"/>
            <c:bubble3D val="0"/>
            <c:spPr>
              <a:solidFill>
                <a:srgbClr val="66FF33"/>
              </a:solidFill>
              <a:ln>
                <a:solidFill>
                  <a:srgbClr val="66FF33"/>
                </a:solidFill>
              </a:ln>
              <a:scene3d>
                <a:camera prst="orthographicFront"/>
                <a:lightRig rig="threePt" dir="t"/>
              </a:scene3d>
              <a:sp3d>
                <a:bevelT/>
              </a:sp3d>
            </c:spPr>
            <c:extLst>
              <c:ext xmlns:c16="http://schemas.microsoft.com/office/drawing/2014/chart" uri="{C3380CC4-5D6E-409C-BE32-E72D297353CC}">
                <c16:uniqueId val="{00000015-B939-48EF-B434-282877C334F7}"/>
              </c:ext>
            </c:extLst>
          </c:dPt>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8</c:v>
                </c:pt>
                <c:pt idx="2">
                  <c:v>15</c:v>
                </c:pt>
                <c:pt idx="3">
                  <c:v>192</c:v>
                </c:pt>
                <c:pt idx="4">
                  <c:v>17</c:v>
                </c:pt>
                <c:pt idx="6">
                  <c:v>102</c:v>
                </c:pt>
                <c:pt idx="7">
                  <c:v>14</c:v>
                </c:pt>
                <c:pt idx="8">
                  <c:v>23</c:v>
                </c:pt>
                <c:pt idx="9">
                  <c:v>250</c:v>
                </c:pt>
                <c:pt idx="10">
                  <c:v>2</c:v>
                </c:pt>
              </c:numCache>
            </c:numRef>
          </c:val>
          <c:extLst>
            <c:ext xmlns:c16="http://schemas.microsoft.com/office/drawing/2014/chart" uri="{C3380CC4-5D6E-409C-BE32-E72D297353CC}">
              <c16:uniqueId val="{00000016-B939-48EF-B434-282877C334F7}"/>
            </c:ext>
          </c:extLst>
        </c:ser>
        <c:ser>
          <c:idx val="0"/>
          <c:order val="1"/>
          <c:tx>
            <c:strRef>
              <c:f>Hoja1!$B$1</c:f>
              <c:strCache>
                <c:ptCount val="1"/>
                <c:pt idx="0">
                  <c:v>No. De hogares</c:v>
                </c:pt>
              </c:strCache>
            </c:strRef>
          </c:tx>
          <c:dPt>
            <c:idx val="0"/>
            <c:bubble3D val="0"/>
            <c:spPr>
              <a:solidFill>
                <a:srgbClr val="FF0066"/>
              </a:solidFill>
              <a:ln w="19050">
                <a:solidFill>
                  <a:srgbClr val="FF0066"/>
                </a:solidFill>
              </a:ln>
              <a:effectLst/>
              <a:scene3d>
                <a:camera prst="orthographicFront"/>
                <a:lightRig rig="threePt" dir="t"/>
              </a:scene3d>
              <a:sp3d>
                <a:bevelT/>
              </a:sp3d>
            </c:spPr>
            <c:extLst>
              <c:ext xmlns:c16="http://schemas.microsoft.com/office/drawing/2014/chart" uri="{C3380CC4-5D6E-409C-BE32-E72D297353CC}">
                <c16:uniqueId val="{00000018-B939-48EF-B434-282877C334F7}"/>
              </c:ext>
            </c:extLst>
          </c:dPt>
          <c:dPt>
            <c:idx val="1"/>
            <c:bubble3D val="0"/>
            <c:spPr>
              <a:solidFill>
                <a:srgbClr val="6600CC"/>
              </a:solidFill>
              <a:ln w="19050">
                <a:solidFill>
                  <a:srgbClr val="6600CC"/>
                </a:solidFill>
              </a:ln>
              <a:effectLst/>
              <a:scene3d>
                <a:camera prst="orthographicFront"/>
                <a:lightRig rig="threePt" dir="t"/>
              </a:scene3d>
              <a:sp3d>
                <a:bevelT/>
              </a:sp3d>
            </c:spPr>
            <c:extLst>
              <c:ext xmlns:c16="http://schemas.microsoft.com/office/drawing/2014/chart" uri="{C3380CC4-5D6E-409C-BE32-E72D297353CC}">
                <c16:uniqueId val="{0000001A-B939-48EF-B434-282877C334F7}"/>
              </c:ext>
            </c:extLst>
          </c:dPt>
          <c:dPt>
            <c:idx val="2"/>
            <c:bubble3D val="0"/>
            <c:spPr>
              <a:solidFill>
                <a:schemeClr val="bg2">
                  <a:lumMod val="50000"/>
                </a:schemeClr>
              </a:solidFill>
              <a:ln w="19050">
                <a:solidFill>
                  <a:schemeClr val="bg2">
                    <a:lumMod val="50000"/>
                  </a:schemeClr>
                </a:solidFill>
              </a:ln>
              <a:effectLst/>
              <a:scene3d>
                <a:camera prst="orthographicFront"/>
                <a:lightRig rig="threePt" dir="t"/>
              </a:scene3d>
              <a:sp3d>
                <a:bevelT/>
              </a:sp3d>
            </c:spPr>
            <c:extLst>
              <c:ext xmlns:c16="http://schemas.microsoft.com/office/drawing/2014/chart" uri="{C3380CC4-5D6E-409C-BE32-E72D297353CC}">
                <c16:uniqueId val="{0000001C-B939-48EF-B434-282877C334F7}"/>
              </c:ext>
            </c:extLst>
          </c:dPt>
          <c:dPt>
            <c:idx val="3"/>
            <c:bubble3D val="0"/>
            <c:spPr>
              <a:solidFill>
                <a:srgbClr val="CC00FF"/>
              </a:solidFill>
              <a:ln w="19050">
                <a:solidFill>
                  <a:srgbClr val="CC00FF"/>
                </a:solidFill>
              </a:ln>
              <a:effectLst/>
              <a:scene3d>
                <a:camera prst="orthographicFront"/>
                <a:lightRig rig="threePt" dir="t"/>
              </a:scene3d>
              <a:sp3d>
                <a:bevelT/>
              </a:sp3d>
            </c:spPr>
            <c:extLst>
              <c:ext xmlns:c16="http://schemas.microsoft.com/office/drawing/2014/chart" uri="{C3380CC4-5D6E-409C-BE32-E72D297353CC}">
                <c16:uniqueId val="{0000001E-B939-48EF-B434-282877C334F7}"/>
              </c:ext>
            </c:extLst>
          </c:dPt>
          <c:dPt>
            <c:idx val="4"/>
            <c:bubble3D val="0"/>
            <c:spPr>
              <a:solidFill>
                <a:srgbClr val="0070C0"/>
              </a:solidFill>
              <a:ln w="19050">
                <a:solidFill>
                  <a:srgbClr val="0070C0"/>
                </a:solidFill>
              </a:ln>
              <a:effectLst/>
              <a:scene3d>
                <a:camera prst="orthographicFront"/>
                <a:lightRig rig="threePt" dir="t"/>
              </a:scene3d>
              <a:sp3d>
                <a:bevelT/>
              </a:sp3d>
            </c:spPr>
            <c:extLst>
              <c:ext xmlns:c16="http://schemas.microsoft.com/office/drawing/2014/chart" uri="{C3380CC4-5D6E-409C-BE32-E72D297353CC}">
                <c16:uniqueId val="{00000020-B939-48EF-B434-282877C334F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2-B939-48EF-B434-282877C334F7}"/>
              </c:ext>
            </c:extLst>
          </c:dPt>
          <c:dPt>
            <c:idx val="6"/>
            <c:bubble3D val="0"/>
            <c:spPr>
              <a:solidFill>
                <a:srgbClr val="FFC000"/>
              </a:solidFill>
              <a:ln w="19050">
                <a:solidFill>
                  <a:srgbClr val="FFC000"/>
                </a:solidFill>
              </a:ln>
              <a:effectLst/>
              <a:scene3d>
                <a:camera prst="orthographicFront"/>
                <a:lightRig rig="threePt" dir="t"/>
              </a:scene3d>
              <a:sp3d>
                <a:bevelT/>
              </a:sp3d>
            </c:spPr>
            <c:extLst>
              <c:ext xmlns:c16="http://schemas.microsoft.com/office/drawing/2014/chart" uri="{C3380CC4-5D6E-409C-BE32-E72D297353CC}">
                <c16:uniqueId val="{00000024-B939-48EF-B434-282877C334F7}"/>
              </c:ext>
            </c:extLst>
          </c:dPt>
          <c:dPt>
            <c:idx val="7"/>
            <c:bubble3D val="0"/>
            <c:spPr>
              <a:solidFill>
                <a:srgbClr val="FF0000"/>
              </a:solidFill>
              <a:ln w="19050">
                <a:solidFill>
                  <a:srgbClr val="FF0000"/>
                </a:solidFill>
              </a:ln>
              <a:effectLst/>
              <a:scene3d>
                <a:camera prst="orthographicFront"/>
                <a:lightRig rig="threePt" dir="t"/>
              </a:scene3d>
              <a:sp3d>
                <a:bevelT/>
              </a:sp3d>
            </c:spPr>
            <c:extLst>
              <c:ext xmlns:c16="http://schemas.microsoft.com/office/drawing/2014/chart" uri="{C3380CC4-5D6E-409C-BE32-E72D297353CC}">
                <c16:uniqueId val="{00000026-B939-48EF-B434-282877C334F7}"/>
              </c:ext>
            </c:extLst>
          </c:dPt>
          <c:dPt>
            <c:idx val="8"/>
            <c:bubble3D val="0"/>
            <c:spPr>
              <a:solidFill>
                <a:srgbClr val="00B0F0"/>
              </a:solidFill>
              <a:ln w="19050">
                <a:solidFill>
                  <a:srgbClr val="00B0F0"/>
                </a:solidFill>
              </a:ln>
              <a:effectLst/>
              <a:scene3d>
                <a:camera prst="orthographicFront"/>
                <a:lightRig rig="threePt" dir="t"/>
              </a:scene3d>
              <a:sp3d>
                <a:bevelT/>
              </a:sp3d>
            </c:spPr>
            <c:extLst>
              <c:ext xmlns:c16="http://schemas.microsoft.com/office/drawing/2014/chart" uri="{C3380CC4-5D6E-409C-BE32-E72D297353CC}">
                <c16:uniqueId val="{00000028-B939-48EF-B434-282877C334F7}"/>
              </c:ext>
            </c:extLst>
          </c:dPt>
          <c:dPt>
            <c:idx val="9"/>
            <c:bubble3D val="0"/>
            <c:spPr>
              <a:solidFill>
                <a:srgbClr val="00B050"/>
              </a:solidFill>
              <a:ln w="19050">
                <a:solidFill>
                  <a:srgbClr val="00B050"/>
                </a:solidFill>
              </a:ln>
              <a:effectLst/>
              <a:scene3d>
                <a:camera prst="orthographicFront"/>
                <a:lightRig rig="threePt" dir="t"/>
              </a:scene3d>
              <a:sp3d>
                <a:bevelT/>
              </a:sp3d>
            </c:spPr>
            <c:extLst>
              <c:ext xmlns:c16="http://schemas.microsoft.com/office/drawing/2014/chart" uri="{C3380CC4-5D6E-409C-BE32-E72D297353CC}">
                <c16:uniqueId val="{0000002A-B939-48EF-B434-282877C334F7}"/>
              </c:ext>
            </c:extLst>
          </c:dPt>
          <c:dPt>
            <c:idx val="10"/>
            <c:bubble3D val="0"/>
            <c:spPr>
              <a:solidFill>
                <a:srgbClr val="3333CC"/>
              </a:solidFill>
              <a:ln w="19050">
                <a:solidFill>
                  <a:srgbClr val="3333CC"/>
                </a:solidFill>
              </a:ln>
              <a:effectLst/>
              <a:scene3d>
                <a:camera prst="orthographicFront"/>
                <a:lightRig rig="threePt" dir="t"/>
              </a:scene3d>
              <a:sp3d>
                <a:bevelT/>
              </a:sp3d>
            </c:spPr>
            <c:extLst>
              <c:ext xmlns:c16="http://schemas.microsoft.com/office/drawing/2014/chart" uri="{C3380CC4-5D6E-409C-BE32-E72D297353CC}">
                <c16:uniqueId val="{0000002C-B939-48EF-B434-282877C334F7}"/>
              </c:ext>
            </c:extLst>
          </c:dPt>
          <c:dPt>
            <c:idx val="11"/>
            <c:bubble3D val="0"/>
            <c:spPr>
              <a:solidFill>
                <a:srgbClr val="66FF33"/>
              </a:solidFill>
              <a:ln w="19050">
                <a:solidFill>
                  <a:srgbClr val="66FF33"/>
                </a:solidFill>
              </a:ln>
              <a:effectLst/>
              <a:scene3d>
                <a:camera prst="orthographicFront"/>
                <a:lightRig rig="threePt" dir="t"/>
              </a:scene3d>
              <a:sp3d>
                <a:bevelT/>
              </a:sp3d>
            </c:spPr>
            <c:extLst>
              <c:ext xmlns:c16="http://schemas.microsoft.com/office/drawing/2014/chart" uri="{C3380CC4-5D6E-409C-BE32-E72D297353CC}">
                <c16:uniqueId val="{0000002E-B939-48EF-B434-282877C334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8</c:v>
                </c:pt>
                <c:pt idx="2">
                  <c:v>15</c:v>
                </c:pt>
                <c:pt idx="3">
                  <c:v>192</c:v>
                </c:pt>
                <c:pt idx="4">
                  <c:v>17</c:v>
                </c:pt>
                <c:pt idx="6">
                  <c:v>102</c:v>
                </c:pt>
                <c:pt idx="7">
                  <c:v>14</c:v>
                </c:pt>
                <c:pt idx="8">
                  <c:v>23</c:v>
                </c:pt>
                <c:pt idx="9">
                  <c:v>250</c:v>
                </c:pt>
                <c:pt idx="10">
                  <c:v>2</c:v>
                </c:pt>
              </c:numCache>
            </c:numRef>
          </c:val>
          <c:extLst>
            <c:ext xmlns:c16="http://schemas.microsoft.com/office/drawing/2014/chart" uri="{C3380CC4-5D6E-409C-BE32-E72D297353CC}">
              <c16:uniqueId val="{0000002F-B939-48EF-B434-282877C334F7}"/>
            </c:ext>
          </c:extLst>
        </c:ser>
        <c:dLbls>
          <c:showLegendKey val="0"/>
          <c:showVal val="1"/>
          <c:showCatName val="1"/>
          <c:showSerName val="0"/>
          <c:showPercent val="0"/>
          <c:showBubbleSize val="0"/>
          <c:showLeaderLines val="1"/>
        </c:dLbls>
        <c:firstSliceAng val="0"/>
      </c:pieChart>
    </c:plotArea>
    <c:plotVisOnly val="1"/>
    <c:dispBlanksAs val="gap"/>
    <c:showDLblsOverMax val="0"/>
  </c:chart>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CARACTERIZACION!$E$13</c:f>
              <c:strCache>
                <c:ptCount val="1"/>
                <c:pt idx="0">
                  <c:v># PERSONAS</c:v>
                </c:pt>
              </c:strCache>
            </c:strRef>
          </c:tx>
          <c:spPr>
            <a:solidFill>
              <a:schemeClr val="accent1">
                <a:lumMod val="40000"/>
                <a:lumOff val="60000"/>
              </a:schemeClr>
            </a:solidFill>
            <a:ln w="9522" cap="flat" cmpd="sng" algn="ctr">
              <a:noFill/>
              <a:round/>
            </a:ln>
            <a:effectLst>
              <a:outerShdw blurRad="40000" dist="20000" dir="5400000" rotWithShape="0">
                <a:srgbClr val="000000">
                  <a:alpha val="38000"/>
                </a:srgbClr>
              </a:outerShdw>
            </a:effectLst>
            <a:sp3d/>
          </c:spPr>
          <c:invertIfNegative val="0"/>
          <c:dLbls>
            <c:spPr>
              <a:noFill/>
              <a:ln w="25393">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CARACTERIZACION!$D$14:$D$23</c:f>
              <c:strCache>
                <c:ptCount val="10"/>
                <c:pt idx="0">
                  <c:v>1. Estudiante</c:v>
                </c:pt>
                <c:pt idx="1">
                  <c:v>2. Empleado</c:v>
                </c:pt>
                <c:pt idx="2">
                  <c:v>3. Independiente</c:v>
                </c:pt>
                <c:pt idx="3">
                  <c:v>4. Hogar</c:v>
                </c:pt>
                <c:pt idx="4">
                  <c:v>5. Pensionado</c:v>
                </c:pt>
                <c:pt idx="5">
                  <c:v>6. Trabajo informal</c:v>
                </c:pt>
                <c:pt idx="6">
                  <c:v>7. Desempleado</c:v>
                </c:pt>
                <c:pt idx="7">
                  <c:v>8. En busca de empleo</c:v>
                </c:pt>
                <c:pt idx="8">
                  <c:v>9. Fuerzas Militares</c:v>
                </c:pt>
                <c:pt idx="9">
                  <c:v>10. Sin actividad</c:v>
                </c:pt>
              </c:strCache>
            </c:strRef>
          </c:cat>
          <c:val>
            <c:numRef>
              <c:f>CARACTERIZACION!$E$14:$E$23</c:f>
              <c:numCache>
                <c:formatCode>0</c:formatCode>
                <c:ptCount val="10"/>
                <c:pt idx="0">
                  <c:v>1536</c:v>
                </c:pt>
                <c:pt idx="1">
                  <c:v>1234</c:v>
                </c:pt>
                <c:pt idx="2">
                  <c:v>658</c:v>
                </c:pt>
                <c:pt idx="3">
                  <c:v>933</c:v>
                </c:pt>
                <c:pt idx="4">
                  <c:v>97</c:v>
                </c:pt>
                <c:pt idx="5">
                  <c:v>489</c:v>
                </c:pt>
                <c:pt idx="6">
                  <c:v>90</c:v>
                </c:pt>
                <c:pt idx="7">
                  <c:v>104</c:v>
                </c:pt>
                <c:pt idx="8">
                  <c:v>18</c:v>
                </c:pt>
                <c:pt idx="9">
                  <c:v>334</c:v>
                </c:pt>
              </c:numCache>
            </c:numRef>
          </c:val>
          <c:extLst>
            <c:ext xmlns:c16="http://schemas.microsoft.com/office/drawing/2014/chart" uri="{C3380CC4-5D6E-409C-BE32-E72D297353CC}">
              <c16:uniqueId val="{00000000-9F3D-4CEF-BBAA-D2ED23DE60D2}"/>
            </c:ext>
          </c:extLst>
        </c:ser>
        <c:dLbls>
          <c:showLegendKey val="0"/>
          <c:showVal val="0"/>
          <c:showCatName val="0"/>
          <c:showSerName val="0"/>
          <c:showPercent val="0"/>
          <c:showBubbleSize val="0"/>
        </c:dLbls>
        <c:gapWidth val="150"/>
        <c:shape val="box"/>
        <c:axId val="163704328"/>
        <c:axId val="1"/>
        <c:axId val="0"/>
      </c:bar3DChart>
      <c:catAx>
        <c:axId val="163704328"/>
        <c:scaling>
          <c:orientation val="minMax"/>
        </c:scaling>
        <c:delete val="0"/>
        <c:axPos val="b"/>
        <c:numFmt formatCode="General" sourceLinked="1"/>
        <c:majorTickMark val="none"/>
        <c:minorTickMark val="none"/>
        <c:tickLblPos val="nextTo"/>
        <c:spPr>
          <a:ln w="6348">
            <a:noFill/>
          </a:ln>
        </c:spPr>
        <c:txPr>
          <a:bodyPr rot="-2700000" vert="horz"/>
          <a:lstStyle/>
          <a:p>
            <a:pPr>
              <a:defRPr sz="900"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3704328"/>
        <c:crosses val="autoZero"/>
        <c:crossBetween val="between"/>
      </c:valAx>
      <c:spPr>
        <a:noFill/>
        <a:ln w="25393">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cap="none" spc="0">
                <a:ln w="0"/>
                <a:solidFill>
                  <a:schemeClr val="tx1"/>
                </a:solidFill>
                <a:effectLst>
                  <a:outerShdw blurRad="38100" dist="19050" dir="2700000" algn="tl" rotWithShape="0">
                    <a:schemeClr val="dk1">
                      <a:alpha val="40000"/>
                    </a:schemeClr>
                  </a:outerShdw>
                </a:effectLst>
              </a:defRPr>
            </a:pPr>
            <a:r>
              <a:rPr lang="es-CO" sz="1600" b="0" i="0" cap="none" spc="0" baseline="0">
                <a:ln w="0"/>
                <a:solidFill>
                  <a:schemeClr val="tx1"/>
                </a:solidFill>
                <a:effectLst>
                  <a:outerShdw blurRad="38100" dist="19050" dir="2700000" algn="tl" rotWithShape="0">
                    <a:schemeClr val="dk1">
                      <a:alpha val="40000"/>
                    </a:schemeClr>
                  </a:outerShdw>
                </a:effectLst>
              </a:rPr>
              <a:t>EJECUCIÓN DE INGRESOS A DICIEMBRE DE 2016</a:t>
            </a:r>
            <a:endParaRPr lang="es-CO" sz="1600" b="0" cap="none" spc="0">
              <a:ln w="0"/>
              <a:solidFill>
                <a:schemeClr val="tx1"/>
              </a:solidFill>
              <a:effectLst>
                <a:outerShdw blurRad="38100" dist="19050" dir="2700000" algn="tl" rotWithShape="0">
                  <a:schemeClr val="dk1">
                    <a:alpha val="40000"/>
                  </a:schemeClr>
                </a:outerShdw>
              </a:effectLst>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7444037805133569"/>
          <c:y val="0.14481483167205286"/>
          <c:w val="0.80067855367844476"/>
          <c:h val="0.39825770333621657"/>
        </c:manualLayout>
      </c:layout>
      <c:bar3DChart>
        <c:barDir val="col"/>
        <c:grouping val="clustered"/>
        <c:varyColors val="0"/>
        <c:ser>
          <c:idx val="0"/>
          <c:order val="0"/>
          <c:tx>
            <c:strRef>
              <c:f>Hoja1!$B$33</c:f>
              <c:strCache>
                <c:ptCount val="1"/>
                <c:pt idx="0">
                  <c:v>PRESUPUESTO 2016</c:v>
                </c:pt>
              </c:strCache>
            </c:strRef>
          </c:tx>
          <c:spPr>
            <a:solidFill>
              <a:srgbClr val="7030A0"/>
            </a:solidFill>
          </c:spPr>
          <c:invertIfNegative val="0"/>
          <c:dLbls>
            <c:dLbl>
              <c:idx val="0"/>
              <c:layout>
                <c:manualLayout>
                  <c:x val="2.0544427324088337E-3"/>
                  <c:y val="-1.87793427230047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2E-4BD9-8FBC-33304C4A7ABE}"/>
                </c:ext>
              </c:extLst>
            </c:dLbl>
            <c:dLbl>
              <c:idx val="1"/>
              <c:layout>
                <c:manualLayout>
                  <c:x val="4.1088854648176736E-3"/>
                  <c:y val="-1.5023474178403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2E-4BD9-8FBC-33304C4A7ABE}"/>
                </c:ext>
              </c:extLst>
            </c:dLbl>
            <c:dLbl>
              <c:idx val="2"/>
              <c:layout>
                <c:manualLayout>
                  <c:x val="-7.5328696651459569E-17"/>
                  <c:y val="-1.8779342723004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2E-4BD9-8FBC-33304C4A7ABE}"/>
                </c:ext>
              </c:extLst>
            </c:dLbl>
            <c:dLbl>
              <c:idx val="3"/>
              <c:layout>
                <c:manualLayout>
                  <c:x val="0"/>
                  <c:y val="-1.5023474178403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2E-4BD9-8FBC-33304C4A7ABE}"/>
                </c:ext>
              </c:extLst>
            </c:dLbl>
            <c:spPr>
              <a:noFill/>
              <a:ln>
                <a:noFill/>
              </a:ln>
              <a:effectLst/>
            </c:spPr>
            <c:txPr>
              <a:bodyPr wrap="square" lIns="38100" tIns="19050" rIns="38100" bIns="19050" anchor="ctr">
                <a:spAutoFit/>
              </a:bodyPr>
              <a:lstStyle/>
              <a:p>
                <a:pPr>
                  <a:defRPr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Hoja1!$A$34:$A$37</c:f>
              <c:strCache>
                <c:ptCount val="4"/>
                <c:pt idx="0">
                  <c:v>CORRIENTES  </c:v>
                </c:pt>
                <c:pt idx="1">
                  <c:v>TRANSFERENCIAS  </c:v>
                </c:pt>
                <c:pt idx="2">
                  <c:v>RECURSOS DE CAPITAL  </c:v>
                </c:pt>
                <c:pt idx="3">
                  <c:v>TOTAL  </c:v>
                </c:pt>
              </c:strCache>
            </c:strRef>
          </c:cat>
          <c:val>
            <c:numRef>
              <c:f>Hoja1!$B$34:$B$37</c:f>
              <c:numCache>
                <c:formatCode>_(* #,##0.0_);_(* \(#,##0.0\);_(* "-"??_);_(@_)</c:formatCode>
                <c:ptCount val="4"/>
                <c:pt idx="0">
                  <c:v>905.6</c:v>
                </c:pt>
                <c:pt idx="1">
                  <c:v>80150.2</c:v>
                </c:pt>
                <c:pt idx="2">
                  <c:v>7648</c:v>
                </c:pt>
                <c:pt idx="3">
                  <c:v>88703.8</c:v>
                </c:pt>
              </c:numCache>
            </c:numRef>
          </c:val>
          <c:extLst>
            <c:ext xmlns:c16="http://schemas.microsoft.com/office/drawing/2014/chart" uri="{C3380CC4-5D6E-409C-BE32-E72D297353CC}">
              <c16:uniqueId val="{00000004-952E-4BD9-8FBC-33304C4A7ABE}"/>
            </c:ext>
          </c:extLst>
        </c:ser>
        <c:ser>
          <c:idx val="1"/>
          <c:order val="1"/>
          <c:tx>
            <c:strRef>
              <c:f>Hoja1!$C$33</c:f>
              <c:strCache>
                <c:ptCount val="1"/>
                <c:pt idx="0">
                  <c:v>EJECUCION A DICIEMBRE 2016  </c:v>
                </c:pt>
              </c:strCache>
            </c:strRef>
          </c:tx>
          <c:spPr>
            <a:solidFill>
              <a:srgbClr val="92D050"/>
            </a:solidFill>
          </c:spPr>
          <c:invertIfNegative val="0"/>
          <c:cat>
            <c:strRef>
              <c:f>Hoja1!$A$34:$A$37</c:f>
              <c:strCache>
                <c:ptCount val="4"/>
                <c:pt idx="0">
                  <c:v>CORRIENTES  </c:v>
                </c:pt>
                <c:pt idx="1">
                  <c:v>TRANSFERENCIAS  </c:v>
                </c:pt>
                <c:pt idx="2">
                  <c:v>RECURSOS DE CAPITAL  </c:v>
                </c:pt>
                <c:pt idx="3">
                  <c:v>TOTAL  </c:v>
                </c:pt>
              </c:strCache>
            </c:strRef>
          </c:cat>
          <c:val>
            <c:numRef>
              <c:f>Hoja1!$C$34:$C$37</c:f>
              <c:numCache>
                <c:formatCode>_(* #,##0.0_);_(* \(#,##0.0\);_(* "-"??_);_(@_)</c:formatCode>
                <c:ptCount val="4"/>
                <c:pt idx="0">
                  <c:v>905.08262099999865</c:v>
                </c:pt>
                <c:pt idx="1">
                  <c:v>37168.793115999986</c:v>
                </c:pt>
                <c:pt idx="2">
                  <c:v>5857.3501390000119</c:v>
                </c:pt>
                <c:pt idx="3">
                  <c:v>43931.225876000004</c:v>
                </c:pt>
              </c:numCache>
            </c:numRef>
          </c:val>
          <c:extLst>
            <c:ext xmlns:c16="http://schemas.microsoft.com/office/drawing/2014/chart" uri="{C3380CC4-5D6E-409C-BE32-E72D297353CC}">
              <c16:uniqueId val="{00000005-952E-4BD9-8FBC-33304C4A7ABE}"/>
            </c:ext>
          </c:extLst>
        </c:ser>
        <c:dLbls>
          <c:showLegendKey val="0"/>
          <c:showVal val="0"/>
          <c:showCatName val="0"/>
          <c:showSerName val="0"/>
          <c:showPercent val="0"/>
          <c:showBubbleSize val="0"/>
        </c:dLbls>
        <c:gapWidth val="75"/>
        <c:shape val="box"/>
        <c:axId val="83147008"/>
        <c:axId val="83288064"/>
        <c:axId val="0"/>
      </c:bar3DChart>
      <c:catAx>
        <c:axId val="83147008"/>
        <c:scaling>
          <c:orientation val="minMax"/>
        </c:scaling>
        <c:delete val="0"/>
        <c:axPos val="b"/>
        <c:numFmt formatCode="General" sourceLinked="0"/>
        <c:majorTickMark val="none"/>
        <c:minorTickMark val="none"/>
        <c:tickLblPos val="nextTo"/>
        <c:txPr>
          <a:bodyPr/>
          <a:lstStyle/>
          <a:p>
            <a:pPr>
              <a:defRPr b="1"/>
            </a:pPr>
            <a:endParaRPr lang="es-ES"/>
          </a:p>
        </c:txPr>
        <c:crossAx val="83288064"/>
        <c:crosses val="autoZero"/>
        <c:auto val="1"/>
        <c:lblAlgn val="ctr"/>
        <c:lblOffset val="100"/>
        <c:noMultiLvlLbl val="0"/>
      </c:catAx>
      <c:valAx>
        <c:axId val="83288064"/>
        <c:scaling>
          <c:orientation val="minMax"/>
        </c:scaling>
        <c:delete val="0"/>
        <c:axPos val="l"/>
        <c:majorGridlines/>
        <c:numFmt formatCode="_(* #,##0.0_);_(* \(#,##0.0\);_(* &quot;-&quot;??_);_(@_)" sourceLinked="1"/>
        <c:majorTickMark val="none"/>
        <c:minorTickMark val="none"/>
        <c:tickLblPos val="nextTo"/>
        <c:spPr>
          <a:ln w="9525">
            <a:noFill/>
          </a:ln>
        </c:spPr>
        <c:txPr>
          <a:bodyPr/>
          <a:lstStyle/>
          <a:p>
            <a:pPr>
              <a:defRPr b="1"/>
            </a:pPr>
            <a:endParaRPr lang="es-ES"/>
          </a:p>
        </c:txPr>
        <c:crossAx val="83147008"/>
        <c:crosses val="autoZero"/>
        <c:crossBetween val="between"/>
      </c:valAx>
    </c:plotArea>
    <c:legend>
      <c:legendPos val="b"/>
      <c:layout>
        <c:manualLayout>
          <c:xMode val="edge"/>
          <c:yMode val="edge"/>
          <c:x val="0.19826700344535159"/>
          <c:y val="0.84954940309880889"/>
          <c:w val="0.58002952250383366"/>
          <c:h val="6.7917045580570018E-2"/>
        </c:manualLayout>
      </c:layout>
      <c:overlay val="0"/>
      <c:txPr>
        <a:bodyPr/>
        <a:lstStyle/>
        <a:p>
          <a:pPr>
            <a:defRPr b="1"/>
          </a:pPr>
          <a:endParaRPr lang="es-ES"/>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i="0" cap="none" spc="0">
                <a:ln w="0"/>
                <a:solidFill>
                  <a:schemeClr val="tx1"/>
                </a:solidFill>
                <a:effectLst>
                  <a:outerShdw blurRad="38100" dist="19050" dir="2700000" algn="tl" rotWithShape="0">
                    <a:schemeClr val="dk1">
                      <a:alpha val="40000"/>
                    </a:schemeClr>
                  </a:outerShdw>
                </a:effectLst>
                <a:latin typeface="+mn-lt"/>
              </a:defRPr>
            </a:pPr>
            <a:r>
              <a:rPr lang="en-US" sz="1600" b="0" i="0" cap="none" spc="0">
                <a:ln w="0"/>
                <a:solidFill>
                  <a:schemeClr val="tx1"/>
                </a:solidFill>
                <a:effectLst>
                  <a:outerShdw blurRad="38100" dist="19050" dir="2700000" algn="tl" rotWithShape="0">
                    <a:schemeClr val="dk1">
                      <a:alpha val="40000"/>
                    </a:schemeClr>
                  </a:outerShdw>
                </a:effectLst>
                <a:latin typeface="+mn-lt"/>
                <a:cs typeface="Arial" pitchFamily="34" charset="0"/>
              </a:rPr>
              <a:t>COMPARATIVO</a:t>
            </a:r>
            <a:r>
              <a:rPr lang="en-US" sz="1600" b="0" i="0" cap="none" spc="0" baseline="0">
                <a:ln w="0"/>
                <a:solidFill>
                  <a:schemeClr val="tx1"/>
                </a:solidFill>
                <a:effectLst>
                  <a:outerShdw blurRad="38100" dist="19050" dir="2700000" algn="tl" rotWithShape="0">
                    <a:schemeClr val="dk1">
                      <a:alpha val="40000"/>
                    </a:schemeClr>
                  </a:outerShdw>
                </a:effectLst>
                <a:latin typeface="+mn-lt"/>
                <a:cs typeface="Arial" pitchFamily="34" charset="0"/>
              </a:rPr>
              <a:t> DE GASTOS 2016-2015</a:t>
            </a:r>
            <a:endParaRPr lang="en-US" sz="1600" b="0" i="0" cap="none" spc="0">
              <a:ln w="0"/>
              <a:solidFill>
                <a:schemeClr val="tx1"/>
              </a:solidFill>
              <a:effectLst>
                <a:outerShdw blurRad="38100" dist="19050" dir="2700000" algn="tl" rotWithShape="0">
                  <a:schemeClr val="dk1">
                    <a:alpha val="40000"/>
                  </a:schemeClr>
                </a:outerShdw>
              </a:effectLst>
              <a:latin typeface="+mn-lt"/>
              <a:cs typeface="Arial" pitchFamily="34"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Funcionamiento!$U$7</c:f>
              <c:strCache>
                <c:ptCount val="1"/>
                <c:pt idx="0">
                  <c:v> DICIEMBRE  2016</c:v>
                </c:pt>
              </c:strCache>
            </c:strRef>
          </c:tx>
          <c:spPr>
            <a:solidFill>
              <a:srgbClr val="7030A0"/>
            </a:solidFill>
          </c:spPr>
          <c:invertIfNegative val="0"/>
          <c:dLbls>
            <c:dLbl>
              <c:idx val="0"/>
              <c:layout>
                <c:manualLayout>
                  <c:x val="-8.3725798011512614E-3"/>
                  <c:y val="-8.57449088960345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63-4B73-9969-91F7C080FD4D}"/>
                </c:ext>
              </c:extLst>
            </c:dLbl>
            <c:dLbl>
              <c:idx val="1"/>
              <c:layout>
                <c:manualLayout>
                  <c:x val="-3.13971742543171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63-4B73-9969-91F7C080FD4D}"/>
                </c:ext>
              </c:extLst>
            </c:dLbl>
            <c:dLbl>
              <c:idx val="2"/>
              <c:layout>
                <c:manualLayout>
                  <c:x val="-1.4651954340446062E-2"/>
                  <c:y val="-3.07692307692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63-4B73-9969-91F7C080FD4D}"/>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Funcionamiento!$U$8:$U$10</c:f>
              <c:numCache>
                <c:formatCode>_(* #,##0.0_);_(* \(#,##0.0\);_(* "-"??_);_(@_)</c:formatCode>
                <c:ptCount val="3"/>
                <c:pt idx="0">
                  <c:v>9878.2999999999811</c:v>
                </c:pt>
                <c:pt idx="1">
                  <c:v>69854.899999999994</c:v>
                </c:pt>
                <c:pt idx="2">
                  <c:v>79733.2</c:v>
                </c:pt>
              </c:numCache>
            </c:numRef>
          </c:val>
          <c:extLst>
            <c:ext xmlns:c16="http://schemas.microsoft.com/office/drawing/2014/chart" uri="{C3380CC4-5D6E-409C-BE32-E72D297353CC}">
              <c16:uniqueId val="{00000003-EE63-4B73-9969-91F7C080FD4D}"/>
            </c:ext>
          </c:extLst>
        </c:ser>
        <c:ser>
          <c:idx val="1"/>
          <c:order val="1"/>
          <c:tx>
            <c:strRef>
              <c:f>Funcionamiento!$V$7</c:f>
              <c:strCache>
                <c:ptCount val="1"/>
                <c:pt idx="0">
                  <c:v>DICIEMBRE 2015.</c:v>
                </c:pt>
              </c:strCache>
            </c:strRef>
          </c:tx>
          <c:spPr>
            <a:solidFill>
              <a:srgbClr val="92D050"/>
            </a:solidFill>
          </c:spPr>
          <c:invertIfNegative val="0"/>
          <c:dLbls>
            <c:dLbl>
              <c:idx val="0"/>
              <c:layout>
                <c:manualLayout>
                  <c:x val="2.5117739403453795E-2"/>
                  <c:y val="-8.5744908896034575E-3"/>
                </c:manualLayout>
              </c:layout>
              <c:spPr>
                <a:noFill/>
                <a:ln>
                  <a:noFill/>
                </a:ln>
                <a:effectLst/>
              </c:spPr>
              <c:txPr>
                <a:bodyPr wrap="square" lIns="38100" tIns="19050" rIns="38100" bIns="19050" anchor="ctr">
                  <a:spAutoFit/>
                </a:bodyPr>
                <a:lstStyle/>
                <a:p>
                  <a:pPr>
                    <a:defRPr sz="1000" b="1">
                      <a:solidFill>
                        <a:schemeClr val="tx1"/>
                      </a:solidFil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63-4B73-9969-91F7C080FD4D}"/>
                </c:ext>
              </c:extLst>
            </c:dLbl>
            <c:dLbl>
              <c:idx val="1"/>
              <c:layout>
                <c:manualLayout>
                  <c:x val="-4.1862899005756194E-3"/>
                  <c:y val="4.28724544480169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63-4B73-9969-91F7C080FD4D}"/>
                </c:ext>
              </c:extLst>
            </c:dLbl>
            <c:dLbl>
              <c:idx val="2"/>
              <c:layout>
                <c:manualLayout>
                  <c:x val="-1.7987633501967401E-2"/>
                  <c:y val="1.02564102564102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63-4B73-9969-91F7C080FD4D}"/>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Funcionamiento!$V$8:$V$10</c:f>
              <c:numCache>
                <c:formatCode>_(* #,##0.0_);_(* \(#,##0.0\);_(* "-"??_);_(@_)</c:formatCode>
                <c:ptCount val="3"/>
                <c:pt idx="0">
                  <c:v>9214.2000000000007</c:v>
                </c:pt>
                <c:pt idx="1">
                  <c:v>107931.4</c:v>
                </c:pt>
                <c:pt idx="2">
                  <c:v>117145.59999999999</c:v>
                </c:pt>
              </c:numCache>
            </c:numRef>
          </c:val>
          <c:extLst>
            <c:ext xmlns:c16="http://schemas.microsoft.com/office/drawing/2014/chart" uri="{C3380CC4-5D6E-409C-BE32-E72D297353CC}">
              <c16:uniqueId val="{00000007-EE63-4B73-9969-91F7C080FD4D}"/>
            </c:ext>
          </c:extLst>
        </c:ser>
        <c:dLbls>
          <c:showLegendKey val="0"/>
          <c:showVal val="1"/>
          <c:showCatName val="0"/>
          <c:showSerName val="0"/>
          <c:showPercent val="0"/>
          <c:showBubbleSize val="0"/>
        </c:dLbls>
        <c:gapWidth val="150"/>
        <c:shape val="box"/>
        <c:axId val="113514368"/>
        <c:axId val="113515904"/>
        <c:axId val="0"/>
      </c:bar3DChart>
      <c:catAx>
        <c:axId val="113514368"/>
        <c:scaling>
          <c:orientation val="minMax"/>
        </c:scaling>
        <c:delete val="0"/>
        <c:axPos val="b"/>
        <c:numFmt formatCode="General" sourceLinked="0"/>
        <c:majorTickMark val="none"/>
        <c:minorTickMark val="none"/>
        <c:tickLblPos val="nextTo"/>
        <c:txPr>
          <a:bodyPr/>
          <a:lstStyle/>
          <a:p>
            <a:pPr>
              <a:defRPr b="1"/>
            </a:pPr>
            <a:endParaRPr lang="es-ES"/>
          </a:p>
        </c:txPr>
        <c:crossAx val="113515904"/>
        <c:crosses val="autoZero"/>
        <c:auto val="1"/>
        <c:lblAlgn val="ctr"/>
        <c:lblOffset val="100"/>
        <c:noMultiLvlLbl val="0"/>
      </c:catAx>
      <c:valAx>
        <c:axId val="113515904"/>
        <c:scaling>
          <c:orientation val="minMax"/>
        </c:scaling>
        <c:delete val="0"/>
        <c:axPos val="l"/>
        <c:majorGridlines/>
        <c:numFmt formatCode="_(* #,##0.0_);_(* \(#,##0.0\);_(* &quot;-&quot;??_);_(@_)" sourceLinked="1"/>
        <c:majorTickMark val="none"/>
        <c:minorTickMark val="none"/>
        <c:tickLblPos val="nextTo"/>
        <c:txPr>
          <a:bodyPr/>
          <a:lstStyle/>
          <a:p>
            <a:pPr>
              <a:defRPr b="1"/>
            </a:pPr>
            <a:endParaRPr lang="es-ES"/>
          </a:p>
        </c:txPr>
        <c:crossAx val="113514368"/>
        <c:crosses val="autoZero"/>
        <c:crossBetween val="between"/>
      </c:valAx>
    </c:plotArea>
    <c:legend>
      <c:legendPos val="r"/>
      <c:overlay val="0"/>
      <c:txPr>
        <a:bodyPr/>
        <a:lstStyle/>
        <a:p>
          <a:pPr>
            <a:defRPr b="1"/>
          </a:pPr>
          <a:endParaRPr lang="es-ES"/>
        </a:p>
      </c:txPr>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576932513065496"/>
          <c:y val="0.27185846391795576"/>
          <c:w val="0.86423068250489565"/>
          <c:h val="0.48744111831836001"/>
        </c:manualLayout>
      </c:layout>
      <c:bar3DChart>
        <c:barDir val="col"/>
        <c:grouping val="clustered"/>
        <c:varyColors val="0"/>
        <c:ser>
          <c:idx val="0"/>
          <c:order val="0"/>
          <c:tx>
            <c:strRef>
              <c:f>Funcionamiento!$U$7</c:f>
              <c:strCache>
                <c:ptCount val="1"/>
                <c:pt idx="0">
                  <c:v>EJECUCION OCTUBRE 2017</c:v>
                </c:pt>
              </c:strCache>
            </c:strRef>
          </c:tx>
          <c:spPr>
            <a:solidFill>
              <a:srgbClr val="7030A0"/>
            </a:solidFill>
          </c:spPr>
          <c:invertIfNegative val="0"/>
          <c:dLbls>
            <c:delete val="1"/>
          </c:dLbls>
          <c:cat>
            <c:strRef>
              <c:f>Funcionamiento!$T$8:$T$10</c:f>
              <c:strCache>
                <c:ptCount val="3"/>
                <c:pt idx="0">
                  <c:v>FUNCIONAMIENTO</c:v>
                </c:pt>
                <c:pt idx="1">
                  <c:v>INVERSIÓN</c:v>
                </c:pt>
                <c:pt idx="2">
                  <c:v>TOTAL</c:v>
                </c:pt>
              </c:strCache>
            </c:strRef>
          </c:cat>
          <c:val>
            <c:numRef>
              <c:f>Funcionamiento!$U$8:$U$10</c:f>
              <c:numCache>
                <c:formatCode>_(* #,##0.0_);_(* \(#,##0.0\);_(* "-"??_);_(@_)</c:formatCode>
                <c:ptCount val="3"/>
                <c:pt idx="0">
                  <c:v>8175.1630630000054</c:v>
                </c:pt>
                <c:pt idx="1">
                  <c:v>51226.102485999996</c:v>
                </c:pt>
                <c:pt idx="2">
                  <c:v>59401.265548999996</c:v>
                </c:pt>
              </c:numCache>
            </c:numRef>
          </c:val>
          <c:extLst>
            <c:ext xmlns:c16="http://schemas.microsoft.com/office/drawing/2014/chart" uri="{C3380CC4-5D6E-409C-BE32-E72D297353CC}">
              <c16:uniqueId val="{00000000-1E00-4229-95C3-B4796CEF448F}"/>
            </c:ext>
          </c:extLst>
        </c:ser>
        <c:ser>
          <c:idx val="1"/>
          <c:order val="1"/>
          <c:tx>
            <c:strRef>
              <c:f>Funcionamiento!$V$7</c:f>
              <c:strCache>
                <c:ptCount val="1"/>
                <c:pt idx="0">
                  <c:v>EJECUCION OCTUBRE 2016</c:v>
                </c:pt>
              </c:strCache>
            </c:strRef>
          </c:tx>
          <c:spPr>
            <a:solidFill>
              <a:srgbClr val="92D050"/>
            </a:solidFill>
          </c:spPr>
          <c:invertIfNegative val="0"/>
          <c:dLbls>
            <c:dLbl>
              <c:idx val="0"/>
              <c:layout>
                <c:manualLayout>
                  <c:x val="2.0512820512820482E-2"/>
                  <c:y val="-1.058201058201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00-4229-95C3-B4796CEF448F}"/>
                </c:ext>
              </c:extLst>
            </c:dLbl>
            <c:dLbl>
              <c:idx val="1"/>
              <c:layout>
                <c:manualLayout>
                  <c:x val="4.7863247863247929E-2"/>
                  <c:y val="-3.8800705467372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00-4229-95C3-B4796CEF448F}"/>
                </c:ext>
              </c:extLst>
            </c:dLbl>
            <c:dLbl>
              <c:idx val="2"/>
              <c:layout>
                <c:manualLayout>
                  <c:x val="3.8746438746438738E-2"/>
                  <c:y val="-4.938271604938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00-4229-95C3-B4796CEF448F}"/>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Funcionamiento!$V$8:$V$10</c:f>
              <c:numCache>
                <c:formatCode>_(* #,##0.0_);_(* \(#,##0.0\);_(* "-"??_);_(@_)</c:formatCode>
                <c:ptCount val="3"/>
                <c:pt idx="0">
                  <c:v>8146.59303</c:v>
                </c:pt>
                <c:pt idx="1">
                  <c:v>41534.856924000043</c:v>
                </c:pt>
                <c:pt idx="2">
                  <c:v>49681.449954000003</c:v>
                </c:pt>
              </c:numCache>
            </c:numRef>
          </c:val>
          <c:extLst>
            <c:ext xmlns:c16="http://schemas.microsoft.com/office/drawing/2014/chart" uri="{C3380CC4-5D6E-409C-BE32-E72D297353CC}">
              <c16:uniqueId val="{00000004-1E00-4229-95C3-B4796CEF448F}"/>
            </c:ext>
          </c:extLst>
        </c:ser>
        <c:dLbls>
          <c:showLegendKey val="0"/>
          <c:showVal val="1"/>
          <c:showCatName val="0"/>
          <c:showSerName val="0"/>
          <c:showPercent val="0"/>
          <c:showBubbleSize val="0"/>
        </c:dLbls>
        <c:gapWidth val="75"/>
        <c:shape val="box"/>
        <c:axId val="156923776"/>
        <c:axId val="156925312"/>
        <c:axId val="0"/>
      </c:bar3DChart>
      <c:catAx>
        <c:axId val="156923776"/>
        <c:scaling>
          <c:orientation val="minMax"/>
        </c:scaling>
        <c:delete val="0"/>
        <c:axPos val="b"/>
        <c:numFmt formatCode="General" sourceLinked="0"/>
        <c:majorTickMark val="none"/>
        <c:minorTickMark val="none"/>
        <c:tickLblPos val="nextTo"/>
        <c:txPr>
          <a:bodyPr/>
          <a:lstStyle/>
          <a:p>
            <a:pPr>
              <a:defRPr sz="1000"/>
            </a:pPr>
            <a:endParaRPr lang="es-ES"/>
          </a:p>
        </c:txPr>
        <c:crossAx val="156925312"/>
        <c:crosses val="autoZero"/>
        <c:auto val="1"/>
        <c:lblAlgn val="ctr"/>
        <c:lblOffset val="100"/>
        <c:noMultiLvlLbl val="0"/>
      </c:catAx>
      <c:valAx>
        <c:axId val="156925312"/>
        <c:scaling>
          <c:orientation val="minMax"/>
        </c:scaling>
        <c:delete val="0"/>
        <c:axPos val="l"/>
        <c:majorGridlines/>
        <c:numFmt formatCode="_(* #,##0.0_);_(* \(#,##0.0\);_(* &quot;-&quot;??_);_(@_)" sourceLinked="1"/>
        <c:majorTickMark val="none"/>
        <c:minorTickMark val="none"/>
        <c:tickLblPos val="nextTo"/>
        <c:txPr>
          <a:bodyPr/>
          <a:lstStyle/>
          <a:p>
            <a:pPr>
              <a:defRPr sz="1000" b="1"/>
            </a:pPr>
            <a:endParaRPr lang="es-ES"/>
          </a:p>
        </c:txPr>
        <c:crossAx val="156923776"/>
        <c:crosses val="autoZero"/>
        <c:crossBetween val="between"/>
      </c:valAx>
    </c:plotArea>
    <c:legend>
      <c:legendPos val="b"/>
      <c:overlay val="0"/>
      <c:txPr>
        <a:bodyPr/>
        <a:lstStyle/>
        <a:p>
          <a:pPr>
            <a:defRPr sz="1000" b="1"/>
          </a:pPr>
          <a:endParaRPr lang="es-ES"/>
        </a:p>
      </c:txPr>
    </c:legend>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solidFill>
                <a:latin typeface="+mn-lt"/>
                <a:ea typeface="+mn-ea"/>
                <a:cs typeface="+mn-cs"/>
              </a:defRPr>
            </a:pPr>
            <a:r>
              <a:rPr lang="es-ES" sz="1800" b="1">
                <a:solidFill>
                  <a:schemeClr val="tx1"/>
                </a:solidFill>
              </a:rPr>
              <a:t>PROCESOS</a:t>
            </a:r>
            <a:r>
              <a:rPr lang="es-ES" sz="1800" b="1" baseline="0">
                <a:solidFill>
                  <a:schemeClr val="tx1"/>
                </a:solidFill>
              </a:rPr>
              <a:t> DE SELECCIÓN DE ENERO A DICIEMBRE DE 2016</a:t>
            </a:r>
            <a:endParaRPr lang="es-ES" sz="1800"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6D54-4543-987E-0690EFF3637C}"/>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6D54-4543-987E-0690EFF3637C}"/>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6D54-4543-987E-0690EFF3637C}"/>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7-6D54-4543-987E-0690EFF3637C}"/>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6D54-4543-987E-0690EFF3637C}"/>
              </c:ext>
            </c:extLst>
          </c:dPt>
          <c:dLbls>
            <c:dLbl>
              <c:idx val="0"/>
              <c:layout>
                <c:manualLayout>
                  <c:x val="1.4811953503061992E-3"/>
                  <c:y val="-2.604166666666683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54-4543-987E-0690EFF3637C}"/>
                </c:ext>
              </c:extLst>
            </c:dLbl>
            <c:dLbl>
              <c:idx val="1"/>
              <c:layout>
                <c:manualLayout>
                  <c:x val="4.4435860509185431E-3"/>
                  <c:y val="-3.12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54-4543-987E-0690EFF3637C}"/>
                </c:ext>
              </c:extLst>
            </c:dLbl>
            <c:dLbl>
              <c:idx val="2"/>
              <c:layout>
                <c:manualLayout>
                  <c:x val="-1.4812527519028518E-3"/>
                  <c:y val="-7.4554727481807312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54-4543-987E-0690EFF3637C}"/>
                </c:ext>
              </c:extLst>
            </c:dLbl>
            <c:dLbl>
              <c:idx val="3"/>
              <c:layout>
                <c:manualLayout>
                  <c:x val="5.9247822780322396E-3"/>
                  <c:y val="-8.9533791553648226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54-4543-987E-0690EFF3637C}"/>
                </c:ext>
              </c:extLst>
            </c:dLbl>
            <c:dLbl>
              <c:idx val="4"/>
              <c:layout>
                <c:manualLayout>
                  <c:x val="-5.7411124263061941E-5"/>
                  <c:y val="-4.127458984014969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D54-4543-987E-0690EFF3637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.xls]Hoja4'!$E$2:$E$6</c:f>
              <c:numCache>
                <c:formatCode>General</c:formatCode>
                <c:ptCount val="5"/>
                <c:pt idx="0">
                  <c:v>7</c:v>
                </c:pt>
                <c:pt idx="1">
                  <c:v>5</c:v>
                </c:pt>
                <c:pt idx="2">
                  <c:v>2</c:v>
                </c:pt>
                <c:pt idx="3">
                  <c:v>32</c:v>
                </c:pt>
                <c:pt idx="4">
                  <c:v>9</c:v>
                </c:pt>
              </c:numCache>
            </c:numRef>
          </c:val>
          <c:extLst>
            <c:ext xmlns:c16="http://schemas.microsoft.com/office/drawing/2014/chart" uri="{C3380CC4-5D6E-409C-BE32-E72D297353CC}">
              <c16:uniqueId val="{0000000A-6D54-4543-987E-0690EFF3637C}"/>
            </c:ext>
          </c:extLst>
        </c:ser>
        <c:dLbls>
          <c:showLegendKey val="0"/>
          <c:showVal val="0"/>
          <c:showCatName val="0"/>
          <c:showSerName val="0"/>
          <c:showPercent val="0"/>
          <c:showBubbleSize val="0"/>
        </c:dLbls>
        <c:gapWidth val="150"/>
        <c:shape val="box"/>
        <c:axId val="181117312"/>
        <c:axId val="181118848"/>
        <c:axId val="0"/>
      </c:bar3DChart>
      <c:catAx>
        <c:axId val="181117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81118848"/>
        <c:crosses val="autoZero"/>
        <c:auto val="1"/>
        <c:lblAlgn val="ctr"/>
        <c:lblOffset val="100"/>
        <c:noMultiLvlLbl val="0"/>
      </c:catAx>
      <c:valAx>
        <c:axId val="181118848"/>
        <c:scaling>
          <c:orientation val="minMax"/>
        </c:scaling>
        <c:delete val="0"/>
        <c:axPos val="l"/>
        <c:majorGridlines/>
        <c:numFmt formatCode="General" sourceLinked="1"/>
        <c:majorTickMark val="out"/>
        <c:minorTickMark val="none"/>
        <c:tickLblPos val="nextTo"/>
        <c:txPr>
          <a:bodyPr/>
          <a:lstStyle/>
          <a:p>
            <a:pPr>
              <a:defRPr b="1">
                <a:solidFill>
                  <a:schemeClr val="tx1"/>
                </a:solidFill>
              </a:defRPr>
            </a:pPr>
            <a:endParaRPr lang="es-ES"/>
          </a:p>
        </c:txPr>
        <c:crossAx val="18111731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solidFill>
                <a:latin typeface="+mn-lt"/>
                <a:ea typeface="+mn-ea"/>
                <a:cs typeface="+mn-cs"/>
              </a:defRPr>
            </a:pPr>
            <a:r>
              <a:rPr lang="es-ES" sz="1800" b="1" dirty="0">
                <a:solidFill>
                  <a:schemeClr val="tx1"/>
                </a:solidFill>
              </a:rPr>
              <a:t>VALORES ADJUDICADOS EN</a:t>
            </a:r>
            <a:r>
              <a:rPr lang="es-ES" sz="1800" b="1" baseline="0" dirty="0">
                <a:solidFill>
                  <a:schemeClr val="tx1"/>
                </a:solidFill>
              </a:rPr>
              <a:t> PROCESOS DE SELECCIÓN DE ENERO A DICIEMBRE DE 2016</a:t>
            </a:r>
            <a:endParaRPr lang="es-ES" sz="1800" b="1" dirty="0">
              <a:solidFill>
                <a:schemeClr val="tx1"/>
              </a:solidFill>
            </a:endParaRPr>
          </a:p>
        </c:rich>
      </c:tx>
      <c:layout>
        <c:manualLayout>
          <c:xMode val="edge"/>
          <c:yMode val="edge"/>
          <c:x val="0.13088950669904825"/>
          <c:y val="2.249606029599341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spPr>
            <a:solidFill>
              <a:srgbClr val="92D050"/>
            </a:solidFill>
          </c:spPr>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445A-48BA-9A80-30B7E7EE1369}"/>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445A-48BA-9A80-30B7E7EE1369}"/>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445A-48BA-9A80-30B7E7EE1369}"/>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7-445A-48BA-9A80-30B7E7EE1369}"/>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445A-48BA-9A80-30B7E7EE1369}"/>
              </c:ext>
            </c:extLst>
          </c:dPt>
          <c:dLbls>
            <c:dLbl>
              <c:idx val="0"/>
              <c:layout>
                <c:manualLayout>
                  <c:x val="-2.6064148059564879E-17"/>
                  <c:y val="-1.01721455417769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5A-48BA-9A80-30B7E7EE1369}"/>
                </c:ext>
              </c:extLst>
            </c:dLbl>
            <c:dLbl>
              <c:idx val="1"/>
              <c:layout>
                <c:manualLayout>
                  <c:x val="-2.8433944532539252E-3"/>
                  <c:y val="-2.2887327468998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5A-48BA-9A80-30B7E7EE1369}"/>
                </c:ext>
              </c:extLst>
            </c:dLbl>
            <c:dLbl>
              <c:idx val="2"/>
              <c:layout>
                <c:manualLayout>
                  <c:x val="0"/>
                  <c:y val="-1.2715181927221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5A-48BA-9A80-30B7E7EE1369}"/>
                </c:ext>
              </c:extLst>
            </c:dLbl>
            <c:dLbl>
              <c:idx val="3"/>
              <c:layout>
                <c:manualLayout>
                  <c:x val="-1.0425659223825939E-16"/>
                  <c:y val="-3.0516436625330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5A-48BA-9A80-30B7E7EE1369}"/>
                </c:ext>
              </c:extLst>
            </c:dLbl>
            <c:dLbl>
              <c:idx val="4"/>
              <c:layout>
                <c:manualLayout>
                  <c:x val="1.0425659223825939E-16"/>
                  <c:y val="-2.034429108355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5A-48BA-9A80-30B7E7EE136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.xls]Hoja4'!$C$2:$C$6</c:f>
              <c:numCache>
                <c:formatCode>_-[$$-240A]\ * #,##0.00_-;\-[$$-240A]\ * #,##0.00_-;_-[$$-240A]\ * "-"??_-;_-@_-</c:formatCode>
                <c:ptCount val="5"/>
                <c:pt idx="0">
                  <c:v>2511632774</c:v>
                </c:pt>
                <c:pt idx="1">
                  <c:v>8588579738</c:v>
                </c:pt>
                <c:pt idx="2">
                  <c:v>176400000</c:v>
                </c:pt>
                <c:pt idx="3">
                  <c:v>472098508</c:v>
                </c:pt>
                <c:pt idx="4">
                  <c:v>1230377821</c:v>
                </c:pt>
              </c:numCache>
            </c:numRef>
          </c:val>
          <c:extLst>
            <c:ext xmlns:c16="http://schemas.microsoft.com/office/drawing/2014/chart" uri="{C3380CC4-5D6E-409C-BE32-E72D297353CC}">
              <c16:uniqueId val="{0000000A-445A-48BA-9A80-30B7E7EE1369}"/>
            </c:ext>
          </c:extLst>
        </c:ser>
        <c:dLbls>
          <c:showLegendKey val="0"/>
          <c:showVal val="0"/>
          <c:showCatName val="0"/>
          <c:showSerName val="0"/>
          <c:showPercent val="0"/>
          <c:showBubbleSize val="0"/>
        </c:dLbls>
        <c:gapWidth val="150"/>
        <c:shape val="box"/>
        <c:axId val="185454976"/>
        <c:axId val="185456512"/>
        <c:axId val="0"/>
      </c:bar3DChart>
      <c:catAx>
        <c:axId val="185454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85456512"/>
        <c:crosses val="autoZero"/>
        <c:auto val="1"/>
        <c:lblAlgn val="ctr"/>
        <c:lblOffset val="100"/>
        <c:noMultiLvlLbl val="0"/>
      </c:catAx>
      <c:valAx>
        <c:axId val="185456512"/>
        <c:scaling>
          <c:orientation val="minMax"/>
        </c:scaling>
        <c:delete val="0"/>
        <c:axPos val="l"/>
        <c:majorGridlines/>
        <c:numFmt formatCode="_-[$$-240A]\ * #,##0.00_-;\-[$$-240A]\ * #,##0.00_-;_-[$$-240A]\ * &quot;-&quot;??_-;_-@_-" sourceLinked="1"/>
        <c:majorTickMark val="out"/>
        <c:minorTickMark val="none"/>
        <c:tickLblPos val="nextTo"/>
        <c:txPr>
          <a:bodyPr/>
          <a:lstStyle/>
          <a:p>
            <a:pPr>
              <a:defRPr b="1">
                <a:solidFill>
                  <a:schemeClr val="tx1"/>
                </a:solidFill>
              </a:defRPr>
            </a:pPr>
            <a:endParaRPr lang="es-ES"/>
          </a:p>
        </c:txPr>
        <c:crossAx val="18545497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s-ES" sz="1800" b="1" i="0" baseline="0">
                <a:solidFill>
                  <a:schemeClr val="tx1"/>
                </a:solidFill>
                <a:effectLst/>
              </a:rPr>
              <a:t>AHORRO GENERADO A LA ENTIDAD POR MODALIDAD</a:t>
            </a:r>
            <a:endParaRPr lang="es-ES" b="1">
              <a:solidFill>
                <a:schemeClr val="tx1"/>
              </a:solidFill>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D67E-4485-9DDE-730A1CB46610}"/>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D67E-4485-9DDE-730A1CB46610}"/>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D67E-4485-9DDE-730A1CB46610}"/>
              </c:ext>
            </c:extLst>
          </c:dPt>
          <c:dPt>
            <c:idx val="3"/>
            <c:invertIfNegative val="0"/>
            <c:bubble3D val="0"/>
            <c:spPr>
              <a:solidFill>
                <a:srgbClr val="FFFF00"/>
              </a:solidFill>
              <a:ln>
                <a:solidFill>
                  <a:srgbClr val="FFC000"/>
                </a:solidFill>
              </a:ln>
              <a:effectLst/>
              <a:sp3d/>
            </c:spPr>
            <c:extLst>
              <c:ext xmlns:c16="http://schemas.microsoft.com/office/drawing/2014/chart" uri="{C3380CC4-5D6E-409C-BE32-E72D297353CC}">
                <c16:uniqueId val="{00000007-D67E-4485-9DDE-730A1CB46610}"/>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D67E-4485-9DDE-730A1CB46610}"/>
              </c:ext>
            </c:extLst>
          </c:dPt>
          <c:dLbls>
            <c:dLbl>
              <c:idx val="0"/>
              <c:layout>
                <c:manualLayout>
                  <c:x val="1.1271940289760451E-2"/>
                  <c:y val="-5.57219498506084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7E-4485-9DDE-730A1CB46610}"/>
                </c:ext>
              </c:extLst>
            </c:dLbl>
            <c:dLbl>
              <c:idx val="1"/>
              <c:layout>
                <c:manualLayout>
                  <c:x val="0.13110114824163727"/>
                  <c:y val="1.1796379155694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7E-4485-9DDE-730A1CB46610}"/>
                </c:ext>
              </c:extLst>
            </c:dLbl>
            <c:dLbl>
              <c:idx val="3"/>
              <c:layout>
                <c:manualLayout>
                  <c:x val="-1.3828764614390904E-3"/>
                  <c:y val="-2.676908335281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7E-4485-9DDE-730A1CB46610}"/>
                </c:ext>
              </c:extLst>
            </c:dLbl>
            <c:dLbl>
              <c:idx val="4"/>
              <c:layout>
                <c:manualLayout>
                  <c:x val="2.5518341307814836E-2"/>
                  <c:y val="-5.7280245629673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7E-4485-9DDE-730A1CB4661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.xls]Hoja4'!$D$2:$D$6</c:f>
              <c:numCache>
                <c:formatCode>_-[$$-240A]\ * #,##0.00_-;\-[$$-240A]\ * #,##0.00_-;_-[$$-240A]\ * "-"??_-;_-@_-</c:formatCode>
                <c:ptCount val="5"/>
                <c:pt idx="0">
                  <c:v>4517117</c:v>
                </c:pt>
                <c:pt idx="1">
                  <c:v>154760163</c:v>
                </c:pt>
                <c:pt idx="2">
                  <c:v>0</c:v>
                </c:pt>
                <c:pt idx="3">
                  <c:v>41621781</c:v>
                </c:pt>
                <c:pt idx="4">
                  <c:v>5335177</c:v>
                </c:pt>
              </c:numCache>
            </c:numRef>
          </c:val>
          <c:extLst>
            <c:ext xmlns:c16="http://schemas.microsoft.com/office/drawing/2014/chart" uri="{C3380CC4-5D6E-409C-BE32-E72D297353CC}">
              <c16:uniqueId val="{0000000A-D67E-4485-9DDE-730A1CB46610}"/>
            </c:ext>
          </c:extLst>
        </c:ser>
        <c:dLbls>
          <c:showLegendKey val="0"/>
          <c:showVal val="0"/>
          <c:showCatName val="0"/>
          <c:showSerName val="0"/>
          <c:showPercent val="0"/>
          <c:showBubbleSize val="0"/>
        </c:dLbls>
        <c:gapWidth val="150"/>
        <c:shape val="box"/>
        <c:axId val="185892864"/>
        <c:axId val="185894400"/>
        <c:axId val="0"/>
      </c:bar3DChart>
      <c:catAx>
        <c:axId val="185892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s-ES"/>
          </a:p>
        </c:txPr>
        <c:crossAx val="185894400"/>
        <c:crosses val="autoZero"/>
        <c:auto val="1"/>
        <c:lblAlgn val="ctr"/>
        <c:lblOffset val="100"/>
        <c:noMultiLvlLbl val="0"/>
      </c:catAx>
      <c:valAx>
        <c:axId val="185894400"/>
        <c:scaling>
          <c:orientation val="minMax"/>
        </c:scaling>
        <c:delete val="0"/>
        <c:axPos val="l"/>
        <c:majorGridlines/>
        <c:numFmt formatCode="_-[$$-240A]\ * #,##0.00_-;\-[$$-240A]\ * #,##0.00_-;_-[$$-240A]\ * &quot;-&quot;??_-;_-@_-" sourceLinked="1"/>
        <c:majorTickMark val="out"/>
        <c:minorTickMark val="none"/>
        <c:tickLblPos val="nextTo"/>
        <c:txPr>
          <a:bodyPr/>
          <a:lstStyle/>
          <a:p>
            <a:pPr>
              <a:defRPr b="1"/>
            </a:pPr>
            <a:endParaRPr lang="es-ES"/>
          </a:p>
        </c:txPr>
        <c:crossAx val="1858928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cap="all" baseline="0">
                <a:solidFill>
                  <a:schemeClr val="tx1"/>
                </a:solidFill>
                <a:latin typeface="+mn-lt"/>
                <a:ea typeface="+mn-ea"/>
                <a:cs typeface="+mn-cs"/>
              </a:defRPr>
            </a:pPr>
            <a:r>
              <a:rPr lang="es-ES" sz="1800" b="1">
                <a:solidFill>
                  <a:schemeClr val="tx1"/>
                </a:solidFill>
              </a:rPr>
              <a:t>CONCURRENCIA DE PROPONENTES </a:t>
            </a:r>
          </a:p>
        </c:rich>
      </c:tx>
      <c:layout>
        <c:manualLayout>
          <c:xMode val="edge"/>
          <c:yMode val="edge"/>
          <c:x val="0.32977126935726869"/>
          <c:y val="2.4050803685824653E-2"/>
        </c:manualLayout>
      </c:layout>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spPr>
            <a:solidFill>
              <a:schemeClr val="bg1"/>
            </a:solidFill>
          </c:spPr>
          <c:invertIfNegative val="0"/>
          <c:dPt>
            <c:idx val="0"/>
            <c:invertIfNegative val="0"/>
            <c:bubble3D val="0"/>
            <c:spPr>
              <a:solidFill>
                <a:srgbClr val="92D050"/>
              </a:solidFill>
              <a:ln>
                <a:solidFill>
                  <a:srgbClr val="92D050"/>
                </a:solidFill>
              </a:ln>
              <a:effectLst/>
              <a:scene3d>
                <a:camera prst="orthographicFront"/>
                <a:lightRig rig="threePt" dir="t"/>
              </a:scene3d>
              <a:sp3d prstMaterial="flat">
                <a:contourClr>
                  <a:schemeClr val="accent1">
                    <a:lumMod val="50000"/>
                  </a:schemeClr>
                </a:contourClr>
              </a:sp3d>
            </c:spPr>
            <c:extLst>
              <c:ext xmlns:c16="http://schemas.microsoft.com/office/drawing/2014/chart" uri="{C3380CC4-5D6E-409C-BE32-E72D297353CC}">
                <c16:uniqueId val="{00000001-58FF-4B34-9AA0-2AE0C96B9865}"/>
              </c:ext>
            </c:extLst>
          </c:dPt>
          <c:dPt>
            <c:idx val="1"/>
            <c:invertIfNegative val="0"/>
            <c:bubble3D val="0"/>
            <c:spPr>
              <a:solidFill>
                <a:srgbClr val="7030A0"/>
              </a:solidFill>
              <a:ln>
                <a:solidFill>
                  <a:srgbClr val="7030A0"/>
                </a:solidFill>
              </a:ln>
              <a:effectLst/>
              <a:scene3d>
                <a:camera prst="orthographicFront"/>
                <a:lightRig rig="threePt" dir="t"/>
              </a:scene3d>
              <a:sp3d prstMaterial="flat">
                <a:contourClr>
                  <a:schemeClr val="accent2">
                    <a:lumMod val="50000"/>
                  </a:schemeClr>
                </a:contourClr>
              </a:sp3d>
            </c:spPr>
            <c:extLst>
              <c:ext xmlns:c16="http://schemas.microsoft.com/office/drawing/2014/chart" uri="{C3380CC4-5D6E-409C-BE32-E72D297353CC}">
                <c16:uniqueId val="{00000003-58FF-4B34-9AA0-2AE0C96B9865}"/>
              </c:ext>
            </c:extLst>
          </c:dPt>
          <c:dPt>
            <c:idx val="2"/>
            <c:invertIfNegative val="0"/>
            <c:bubble3D val="0"/>
            <c:spPr>
              <a:solidFill>
                <a:srgbClr val="C00000"/>
              </a:solidFill>
              <a:ln>
                <a:solidFill>
                  <a:srgbClr val="C00000"/>
                </a:solidFill>
              </a:ln>
              <a:effectLst/>
              <a:scene3d>
                <a:camera prst="orthographicFront"/>
                <a:lightRig rig="threePt" dir="t"/>
              </a:scene3d>
              <a:sp3d prstMaterial="flat">
                <a:contourClr>
                  <a:schemeClr val="accent3">
                    <a:lumMod val="50000"/>
                  </a:schemeClr>
                </a:contourClr>
              </a:sp3d>
            </c:spPr>
            <c:extLst>
              <c:ext xmlns:c16="http://schemas.microsoft.com/office/drawing/2014/chart" uri="{C3380CC4-5D6E-409C-BE32-E72D297353CC}">
                <c16:uniqueId val="{00000005-58FF-4B34-9AA0-2AE0C96B9865}"/>
              </c:ext>
            </c:extLst>
          </c:dPt>
          <c:dPt>
            <c:idx val="3"/>
            <c:invertIfNegative val="0"/>
            <c:bubble3D val="0"/>
            <c:spPr>
              <a:solidFill>
                <a:srgbClr val="FFFF00"/>
              </a:solidFill>
              <a:ln>
                <a:solidFill>
                  <a:srgbClr val="FFFF00"/>
                </a:solidFill>
              </a:ln>
              <a:effectLst/>
              <a:scene3d>
                <a:camera prst="orthographicFront"/>
                <a:lightRig rig="threePt" dir="t"/>
              </a:scene3d>
              <a:sp3d prstMaterial="flat">
                <a:contourClr>
                  <a:schemeClr val="accent4">
                    <a:lumMod val="50000"/>
                  </a:schemeClr>
                </a:contourClr>
              </a:sp3d>
            </c:spPr>
            <c:extLst>
              <c:ext xmlns:c16="http://schemas.microsoft.com/office/drawing/2014/chart" uri="{C3380CC4-5D6E-409C-BE32-E72D297353CC}">
                <c16:uniqueId val="{00000007-58FF-4B34-9AA0-2AE0C96B9865}"/>
              </c:ext>
            </c:extLst>
          </c:dPt>
          <c:dPt>
            <c:idx val="4"/>
            <c:invertIfNegative val="0"/>
            <c:bubble3D val="0"/>
            <c:spPr>
              <a:solidFill>
                <a:srgbClr val="00B0F0"/>
              </a:solidFill>
              <a:ln>
                <a:solidFill>
                  <a:srgbClr val="00B0F0"/>
                </a:solidFill>
              </a:ln>
              <a:effectLst/>
              <a:scene3d>
                <a:camera prst="orthographicFront"/>
                <a:lightRig rig="threePt" dir="t"/>
              </a:scene3d>
              <a:sp3d prstMaterial="flat">
                <a:contourClr>
                  <a:schemeClr val="accent5">
                    <a:lumMod val="50000"/>
                  </a:schemeClr>
                </a:contourClr>
              </a:sp3d>
            </c:spPr>
            <c:extLst>
              <c:ext xmlns:c16="http://schemas.microsoft.com/office/drawing/2014/chart" uri="{C3380CC4-5D6E-409C-BE32-E72D297353CC}">
                <c16:uniqueId val="{00000009-58FF-4B34-9AA0-2AE0C96B9865}"/>
              </c:ext>
            </c:extLst>
          </c:dPt>
          <c:dLbls>
            <c:dLbl>
              <c:idx val="0"/>
              <c:layout>
                <c:manualLayout>
                  <c:x val="-2.5038931990701065E-17"/>
                  <c:y val="-4.7934828458942723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FF-4B34-9AA0-2AE0C96B9865}"/>
                </c:ext>
              </c:extLst>
            </c:dLbl>
            <c:dLbl>
              <c:idx val="1"/>
              <c:layout>
                <c:manualLayout>
                  <c:x val="1.251072053271708E-2"/>
                  <c:y val="-4.7875265591801025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FF-4B34-9AA0-2AE0C96B9865}"/>
                </c:ext>
              </c:extLst>
            </c:dLbl>
            <c:dLbl>
              <c:idx val="2"/>
              <c:layout>
                <c:manualLayout>
                  <c:x val="1.9558230707477101E-2"/>
                  <c:y val="-3.8014193538307713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7.7944819435310897E-2"/>
                      <c:h val="3.7710911136107986E-2"/>
                    </c:manualLayout>
                  </c15:layout>
                </c:ext>
                <c:ext xmlns:c16="http://schemas.microsoft.com/office/drawing/2014/chart" uri="{C3380CC4-5D6E-409C-BE32-E72D297353CC}">
                  <c16:uniqueId val="{00000005-58FF-4B34-9AA0-2AE0C96B9865}"/>
                </c:ext>
              </c:extLst>
            </c:dLbl>
            <c:dLbl>
              <c:idx val="3"/>
              <c:layout>
                <c:manualLayout>
                  <c:x val="-1.4751453018660085E-3"/>
                  <c:y val="-3.9577669978752679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FF-4B34-9AA0-2AE0C96B9865}"/>
                </c:ext>
              </c:extLst>
            </c:dLbl>
            <c:dLbl>
              <c:idx val="4"/>
              <c:layout>
                <c:manualLayout>
                  <c:x val="4.4253283642039934E-3"/>
                  <c:y val="-4.724214160729908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FF-4B34-9AA0-2AE0C96B9865}"/>
                </c:ext>
              </c:extLst>
            </c:dLbl>
            <c:spPr>
              <a:noFill/>
              <a:ln>
                <a:solidFill>
                  <a:schemeClr val="bg1"/>
                </a:solidFill>
              </a:ln>
              <a:effectLst/>
            </c:spPr>
            <c:txPr>
              <a:bodyPr wrap="square" lIns="38100" tIns="19050" rIns="38100" bIns="19050" anchor="ctr">
                <a:spAutoFit/>
              </a:bodyPr>
              <a:lstStyle/>
              <a:p>
                <a:pPr>
                  <a:defRPr b="1" i="0">
                    <a:solidFill>
                      <a:schemeClr val="tx1"/>
                    </a:solidFil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.xls]Hoja4'!$F$2:$F$6</c:f>
              <c:numCache>
                <c:formatCode>General</c:formatCode>
                <c:ptCount val="5"/>
                <c:pt idx="0">
                  <c:v>56</c:v>
                </c:pt>
                <c:pt idx="1">
                  <c:v>180</c:v>
                </c:pt>
                <c:pt idx="2">
                  <c:v>6</c:v>
                </c:pt>
                <c:pt idx="3">
                  <c:v>194</c:v>
                </c:pt>
                <c:pt idx="4">
                  <c:v>101</c:v>
                </c:pt>
              </c:numCache>
            </c:numRef>
          </c:val>
          <c:extLst>
            <c:ext xmlns:c16="http://schemas.microsoft.com/office/drawing/2014/chart" uri="{C3380CC4-5D6E-409C-BE32-E72D297353CC}">
              <c16:uniqueId val="{0000000A-58FF-4B34-9AA0-2AE0C96B9865}"/>
            </c:ext>
          </c:extLst>
        </c:ser>
        <c:dLbls>
          <c:showLegendKey val="0"/>
          <c:showVal val="0"/>
          <c:showCatName val="0"/>
          <c:showSerName val="0"/>
          <c:showPercent val="0"/>
          <c:showBubbleSize val="0"/>
        </c:dLbls>
        <c:gapWidth val="84"/>
        <c:gapDepth val="53"/>
        <c:shape val="box"/>
        <c:axId val="135219072"/>
        <c:axId val="135220608"/>
        <c:axId val="0"/>
      </c:bar3DChart>
      <c:catAx>
        <c:axId val="135219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35220608"/>
        <c:crosses val="autoZero"/>
        <c:auto val="1"/>
        <c:lblAlgn val="ctr"/>
        <c:lblOffset val="100"/>
        <c:noMultiLvlLbl val="0"/>
      </c:catAx>
      <c:valAx>
        <c:axId val="135220608"/>
        <c:scaling>
          <c:orientation val="minMax"/>
        </c:scaling>
        <c:delete val="0"/>
        <c:axPos val="l"/>
        <c:majorGridlines>
          <c:spPr>
            <a:effectLst>
              <a:outerShdw blurRad="50800" dist="50800" dir="5400000" algn="ctr" rotWithShape="0">
                <a:schemeClr val="bg1"/>
              </a:outerShdw>
            </a:effectLst>
          </c:spPr>
        </c:majorGridlines>
        <c:numFmt formatCode="General" sourceLinked="1"/>
        <c:majorTickMark val="out"/>
        <c:minorTickMark val="none"/>
        <c:tickLblPos val="nextTo"/>
        <c:txPr>
          <a:bodyPr/>
          <a:lstStyle/>
          <a:p>
            <a:pPr>
              <a:defRPr b="1">
                <a:solidFill>
                  <a:schemeClr val="tx1"/>
                </a:solidFill>
              </a:defRPr>
            </a:pPr>
            <a:endParaRPr lang="es-ES"/>
          </a:p>
        </c:txPr>
        <c:crossAx val="135219072"/>
        <c:crosses val="autoZero"/>
        <c:crossBetween val="between"/>
      </c:valAx>
      <c:spPr>
        <a:noFill/>
        <a:ln w="25400">
          <a:noFill/>
        </a:ln>
      </c:spPr>
    </c:plotArea>
    <c:plotVisOnly val="1"/>
    <c:dispBlanksAs val="gap"/>
    <c:showDLblsOverMax val="0"/>
  </c:chart>
  <c:spPr>
    <a:noFill/>
    <a:ln w="6350" cap="flat" cmpd="sng" algn="ctr">
      <a:solidFill>
        <a:schemeClr val="dk1">
          <a:tint val="75000"/>
        </a:schemeClr>
      </a:solidFill>
      <a:round/>
    </a:ln>
    <a:effectLst/>
  </c:spPr>
  <c:txPr>
    <a:bodyPr/>
    <a:lstStyle/>
    <a:p>
      <a:pPr>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5400">
          <a:noFill/>
        </a:ln>
      </c:spPr>
      <c:txPr>
        <a:bodyPr rot="0" spcFirstLastPara="1" vertOverflow="ellipsis" vert="horz" wrap="square" anchor="ctr" anchorCtr="1"/>
        <a:lstStyle/>
        <a:p>
          <a:pPr>
            <a:defRPr sz="16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ES"/>
        </a:p>
      </c:txPr>
    </c:title>
    <c:autoTitleDeleted val="0"/>
    <c:view3D>
      <c:rotX val="15"/>
      <c:rotY val="20"/>
      <c:rAngAx val="0"/>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'[BASE DE DATOS INFORMACION PROCESOS DE SELECCION ENERO-OCTUBRE DE 2017.xls]Hoja6'!$D$1</c:f>
              <c:strCache>
                <c:ptCount val="1"/>
                <c:pt idx="0">
                  <c:v>PROCESOS DE SELECCIÓN DE ENERO A OCTUBRE DE 2017</c:v>
                </c:pt>
              </c:strCache>
            </c:strRef>
          </c:tx>
          <c:spPr>
            <a:solidFill>
              <a:srgbClr val="4472C4"/>
            </a:solidFill>
            <a:ln w="25400">
              <a:noFill/>
            </a:ln>
          </c:spPr>
          <c:invertIfNegative val="0"/>
          <c:dPt>
            <c:idx val="0"/>
            <c:invertIfNegative val="0"/>
            <c:bubble3D val="0"/>
            <c:spPr>
              <a:solidFill>
                <a:srgbClr val="00B0F0"/>
              </a:solidFill>
              <a:ln w="25400">
                <a:noFill/>
              </a:ln>
            </c:spPr>
            <c:extLst>
              <c:ext xmlns:c16="http://schemas.microsoft.com/office/drawing/2014/chart" uri="{C3380CC4-5D6E-409C-BE32-E72D297353CC}">
                <c16:uniqueId val="{00000001-2862-48EF-BA4D-6674EBFA87CF}"/>
              </c:ext>
            </c:extLst>
          </c:dPt>
          <c:dPt>
            <c:idx val="1"/>
            <c:invertIfNegative val="0"/>
            <c:bubble3D val="0"/>
            <c:spPr>
              <a:solidFill>
                <a:srgbClr val="C00000"/>
              </a:solidFill>
              <a:ln w="25400">
                <a:noFill/>
              </a:ln>
            </c:spPr>
            <c:extLst>
              <c:ext xmlns:c16="http://schemas.microsoft.com/office/drawing/2014/chart" uri="{C3380CC4-5D6E-409C-BE32-E72D297353CC}">
                <c16:uniqueId val="{00000003-2862-48EF-BA4D-6674EBFA87CF}"/>
              </c:ext>
            </c:extLst>
          </c:dPt>
          <c:dPt>
            <c:idx val="2"/>
            <c:invertIfNegative val="0"/>
            <c:bubble3D val="0"/>
            <c:spPr>
              <a:solidFill>
                <a:srgbClr val="92D050"/>
              </a:solidFill>
              <a:ln w="25400">
                <a:noFill/>
              </a:ln>
            </c:spPr>
            <c:extLst>
              <c:ext xmlns:c16="http://schemas.microsoft.com/office/drawing/2014/chart" uri="{C3380CC4-5D6E-409C-BE32-E72D297353CC}">
                <c16:uniqueId val="{00000005-2862-48EF-BA4D-6674EBFA87CF}"/>
              </c:ext>
            </c:extLst>
          </c:dPt>
          <c:dPt>
            <c:idx val="3"/>
            <c:invertIfNegative val="0"/>
            <c:bubble3D val="0"/>
            <c:spPr>
              <a:solidFill>
                <a:srgbClr val="7030A0"/>
              </a:solidFill>
              <a:ln w="25400">
                <a:noFill/>
              </a:ln>
            </c:spPr>
            <c:extLst>
              <c:ext xmlns:c16="http://schemas.microsoft.com/office/drawing/2014/chart" uri="{C3380CC4-5D6E-409C-BE32-E72D297353CC}">
                <c16:uniqueId val="{00000007-2862-48EF-BA4D-6674EBFA87CF}"/>
              </c:ext>
            </c:extLst>
          </c:dPt>
          <c:dPt>
            <c:idx val="4"/>
            <c:invertIfNegative val="0"/>
            <c:bubble3D val="0"/>
            <c:spPr>
              <a:solidFill>
                <a:srgbClr val="FFC000"/>
              </a:solidFill>
              <a:ln w="25400">
                <a:noFill/>
              </a:ln>
            </c:spPr>
            <c:extLst>
              <c:ext xmlns:c16="http://schemas.microsoft.com/office/drawing/2014/chart" uri="{C3380CC4-5D6E-409C-BE32-E72D297353CC}">
                <c16:uniqueId val="{00000009-2862-48EF-BA4D-6674EBFA87CF}"/>
              </c:ext>
            </c:extLst>
          </c:dPt>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'[BASE DE DATOS INFORMACION PROCESOS DE SELECCION ENERO-OCTUBRE DE 2017.xls]Hoja6'!$A$2:$A$6</c:f>
              <c:strCache>
                <c:ptCount val="5"/>
                <c:pt idx="0">
                  <c:v>LICITACION PUBLICAS</c:v>
                </c:pt>
                <c:pt idx="1">
                  <c:v>CONCURSO DE MÉRITOS</c:v>
                </c:pt>
                <c:pt idx="2">
                  <c:v>MENOR CUANTÍA</c:v>
                </c:pt>
                <c:pt idx="3">
                  <c:v>SUBASTA INVERSA</c:v>
                </c:pt>
                <c:pt idx="4">
                  <c:v>MÍNIMA CUANTÍA</c:v>
                </c:pt>
              </c:strCache>
            </c:strRef>
          </c:cat>
          <c:val>
            <c:numRef>
              <c:f>'[BASE DE DATOS INFORMACION PROCESOS DE SELECCION ENERO-OCTUBRE DE 2017.xls]Hoja6'!$D$2:$D$6</c:f>
              <c:numCache>
                <c:formatCode>General</c:formatCode>
                <c:ptCount val="5"/>
                <c:pt idx="0">
                  <c:v>11</c:v>
                </c:pt>
                <c:pt idx="1">
                  <c:v>6</c:v>
                </c:pt>
                <c:pt idx="2">
                  <c:v>2</c:v>
                </c:pt>
                <c:pt idx="3">
                  <c:v>9</c:v>
                </c:pt>
                <c:pt idx="4">
                  <c:v>27</c:v>
                </c:pt>
              </c:numCache>
            </c:numRef>
          </c:val>
          <c:extLst>
            <c:ext xmlns:c16="http://schemas.microsoft.com/office/drawing/2014/chart" uri="{C3380CC4-5D6E-409C-BE32-E72D297353CC}">
              <c16:uniqueId val="{0000000A-2862-48EF-BA4D-6674EBFA87CF}"/>
            </c:ext>
          </c:extLst>
        </c:ser>
        <c:dLbls>
          <c:showLegendKey val="0"/>
          <c:showVal val="0"/>
          <c:showCatName val="0"/>
          <c:showSerName val="0"/>
          <c:showPercent val="0"/>
          <c:showBubbleSize val="0"/>
        </c:dLbls>
        <c:gapWidth val="150"/>
        <c:shape val="box"/>
        <c:axId val="134807936"/>
        <c:axId val="134809472"/>
        <c:axId val="0"/>
      </c:bar3DChart>
      <c:catAx>
        <c:axId val="13480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solidFill>
                <a:latin typeface="+mn-lt"/>
                <a:ea typeface="+mn-ea"/>
                <a:cs typeface="+mn-cs"/>
              </a:defRPr>
            </a:pPr>
            <a:endParaRPr lang="es-ES"/>
          </a:p>
        </c:txPr>
        <c:crossAx val="134809472"/>
        <c:crosses val="autoZero"/>
        <c:auto val="1"/>
        <c:lblAlgn val="ctr"/>
        <c:lblOffset val="100"/>
        <c:noMultiLvlLbl val="0"/>
      </c:catAx>
      <c:valAx>
        <c:axId val="134809472"/>
        <c:scaling>
          <c:orientation val="minMax"/>
        </c:scaling>
        <c:delete val="0"/>
        <c:axPos val="l"/>
        <c:majorGridlines/>
        <c:numFmt formatCode="General" sourceLinked="1"/>
        <c:majorTickMark val="out"/>
        <c:minorTickMark val="none"/>
        <c:tickLblPos val="nextTo"/>
        <c:txPr>
          <a:bodyPr/>
          <a:lstStyle/>
          <a:p>
            <a:pPr>
              <a:defRPr b="1"/>
            </a:pPr>
            <a:endParaRPr lang="es-ES"/>
          </a:p>
        </c:txPr>
        <c:crossAx val="134807936"/>
        <c:crosses val="autoZero"/>
        <c:crossBetween val="between"/>
      </c:valAx>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600" b="0" cap="none" spc="0">
                <a:ln w="0"/>
                <a:solidFill>
                  <a:schemeClr val="tx1"/>
                </a:solidFill>
                <a:effectLst>
                  <a:outerShdw blurRad="38100" dist="19050" dir="2700000" algn="tl" rotWithShape="0">
                    <a:schemeClr val="dk1">
                      <a:alpha val="40000"/>
                    </a:schemeClr>
                  </a:outerShdw>
                </a:effectLst>
              </a:rPr>
              <a:t>VALOR</a:t>
            </a:r>
            <a:r>
              <a:rPr lang="es-ES" sz="1600" b="0" cap="none" spc="0" baseline="0">
                <a:ln w="0"/>
                <a:solidFill>
                  <a:schemeClr val="tx1"/>
                </a:solidFill>
                <a:effectLst>
                  <a:outerShdw blurRad="38100" dist="19050" dir="2700000" algn="tl" rotWithShape="0">
                    <a:schemeClr val="dk1">
                      <a:alpha val="40000"/>
                    </a:schemeClr>
                  </a:outerShdw>
                </a:effectLst>
              </a:rPr>
              <a:t> PRESUPUESTO VS VALOR ADJUDICADO POR MODALIDAD</a:t>
            </a:r>
            <a:endParaRPr lang="es-ES" sz="1600" b="0" cap="none" spc="0">
              <a:ln w="0"/>
              <a:solidFill>
                <a:schemeClr val="tx1"/>
              </a:solidFill>
              <a:effectLst>
                <a:outerShdw blurRad="38100" dist="19050" dir="2700000" algn="tl" rotWithShape="0">
                  <a:schemeClr val="dk1">
                    <a:alpha val="40000"/>
                  </a:schemeClr>
                </a:outerShdw>
              </a:effectLst>
            </a:endParaRP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PresupuestoVsAdjudicado!$B$1</c:f>
              <c:strCache>
                <c:ptCount val="1"/>
                <c:pt idx="0">
                  <c:v>VALOR DEL PRESUPUESTO</c:v>
                </c:pt>
              </c:strCache>
            </c:strRef>
          </c:tx>
          <c:spPr>
            <a:solidFill>
              <a:srgbClr val="92D050"/>
            </a:solidFill>
            <a:ln>
              <a:noFill/>
            </a:ln>
            <a:effectLst/>
            <a:sp3d/>
          </c:spPr>
          <c:invertIfNegative val="0"/>
          <c:dPt>
            <c:idx val="0"/>
            <c:invertIfNegative val="0"/>
            <c:bubble3D val="0"/>
            <c:spPr>
              <a:solidFill>
                <a:srgbClr val="00B0F0"/>
              </a:solidFill>
              <a:ln>
                <a:noFill/>
              </a:ln>
              <a:effectLst/>
              <a:sp3d/>
            </c:spPr>
            <c:extLst>
              <c:ext xmlns:c16="http://schemas.microsoft.com/office/drawing/2014/chart" uri="{C3380CC4-5D6E-409C-BE32-E72D297353CC}">
                <c16:uniqueId val="{00000001-58F0-411F-BB16-43C143525853}"/>
              </c:ext>
            </c:extLst>
          </c:dPt>
          <c:dPt>
            <c:idx val="2"/>
            <c:invertIfNegative val="0"/>
            <c:bubble3D val="0"/>
            <c:spPr>
              <a:solidFill>
                <a:srgbClr val="002060"/>
              </a:solidFill>
              <a:ln>
                <a:noFill/>
              </a:ln>
              <a:effectLst/>
              <a:sp3d/>
            </c:spPr>
            <c:extLst>
              <c:ext xmlns:c16="http://schemas.microsoft.com/office/drawing/2014/chart" uri="{C3380CC4-5D6E-409C-BE32-E72D297353CC}">
                <c16:uniqueId val="{00000003-58F0-411F-BB16-43C143525853}"/>
              </c:ext>
            </c:extLst>
          </c:dPt>
          <c:dPt>
            <c:idx val="3"/>
            <c:invertIfNegative val="0"/>
            <c:bubble3D val="0"/>
            <c:spPr>
              <a:solidFill>
                <a:srgbClr val="00B050"/>
              </a:solidFill>
              <a:ln>
                <a:noFill/>
              </a:ln>
              <a:effectLst/>
              <a:sp3d/>
            </c:spPr>
            <c:extLst>
              <c:ext xmlns:c16="http://schemas.microsoft.com/office/drawing/2014/chart" uri="{C3380CC4-5D6E-409C-BE32-E72D297353CC}">
                <c16:uniqueId val="{00000005-58F0-411F-BB16-43C143525853}"/>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7-58F0-411F-BB16-43C143525853}"/>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6="http://schemas.microsoft.com/office/drawing/2014/chart" uri="{C3380CC4-5D6E-409C-BE32-E72D297353CC}">
                  <c16:uniqueId val="{00000001-58F0-411F-BB16-43C143525853}"/>
                </c:ext>
              </c:extLst>
            </c:dLbl>
            <c:dLbl>
              <c:idx val="1"/>
              <c:layout>
                <c:manualLayout>
                  <c:x val="5.3280054065098149E-2"/>
                  <c:y val="-4.7094419320034019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14958257047137399"/>
                      <c:h val="4.8812196347796946E-2"/>
                    </c:manualLayout>
                  </c15:layout>
                </c:ext>
                <c:ext xmlns:c16="http://schemas.microsoft.com/office/drawing/2014/chart" uri="{C3380CC4-5D6E-409C-BE32-E72D297353CC}">
                  <c16:uniqueId val="{00000008-58F0-411F-BB16-43C143525853}"/>
                </c:ext>
              </c:extLst>
            </c:dLbl>
            <c:dLbl>
              <c:idx val="2"/>
              <c:layout>
                <c:manualLayout>
                  <c:x val="2.749556006098041E-2"/>
                  <c:y val="-3.789169210991486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F0-411F-BB16-43C143525853}"/>
                </c:ext>
              </c:extLst>
            </c:dLbl>
            <c:dLbl>
              <c:idx val="3"/>
              <c:layout>
                <c:manualLayout>
                  <c:x val="5.6163106857151868E-2"/>
                  <c:y val="-6.8346456692913463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F0-411F-BB16-43C143525853}"/>
                </c:ext>
              </c:extLst>
            </c:dLbl>
            <c:dLbl>
              <c:idx val="4"/>
              <c:layout>
                <c:manualLayout>
                  <c:x val="4.9419114526851833E-2"/>
                  <c:y val="-3.9850937000221937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F0-411F-BB16-43C14352585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PresupuestoVsAdjudicado!$B$2:$B$6</c:f>
              <c:numCache>
                <c:formatCode>_-"$"* #,##0.00_-;\-"$"* #,##0.00_-;_-"$"* "-"??_-;_-@_-</c:formatCode>
                <c:ptCount val="5"/>
                <c:pt idx="0">
                  <c:v>9706038269</c:v>
                </c:pt>
                <c:pt idx="1">
                  <c:v>1124781226</c:v>
                </c:pt>
                <c:pt idx="2">
                  <c:v>52000000</c:v>
                </c:pt>
                <c:pt idx="3">
                  <c:v>752207566</c:v>
                </c:pt>
                <c:pt idx="4">
                  <c:v>283877312</c:v>
                </c:pt>
              </c:numCache>
            </c:numRef>
          </c:val>
          <c:extLst>
            <c:ext xmlns:c16="http://schemas.microsoft.com/office/drawing/2014/chart" uri="{C3380CC4-5D6E-409C-BE32-E72D297353CC}">
              <c16:uniqueId val="{00000009-58F0-411F-BB16-43C143525853}"/>
            </c:ext>
          </c:extLst>
        </c:ser>
        <c:ser>
          <c:idx val="1"/>
          <c:order val="1"/>
          <c:tx>
            <c:strRef>
              <c:f>PresupuestoVsAdjudicado!$C$1</c:f>
              <c:strCache>
                <c:ptCount val="1"/>
                <c:pt idx="0">
                  <c:v>VALOR ADJUDICADO </c:v>
                </c:pt>
              </c:strCache>
            </c:strRef>
          </c:tx>
          <c:spPr>
            <a:solidFill>
              <a:srgbClr val="C00000"/>
            </a:solidFill>
            <a:ln>
              <a:noFill/>
            </a:ln>
            <a:effectLst/>
            <a:sp3d/>
          </c:spPr>
          <c:invertIfNegative val="0"/>
          <c:dPt>
            <c:idx val="1"/>
            <c:invertIfNegative val="0"/>
            <c:bubble3D val="0"/>
            <c:spPr>
              <a:solidFill>
                <a:srgbClr val="7030A0"/>
              </a:solidFill>
              <a:ln>
                <a:noFill/>
              </a:ln>
              <a:effectLst/>
              <a:sp3d/>
            </c:spPr>
            <c:extLst>
              <c:ext xmlns:c16="http://schemas.microsoft.com/office/drawing/2014/chart" uri="{C3380CC4-5D6E-409C-BE32-E72D297353CC}">
                <c16:uniqueId val="{0000000B-58F0-411F-BB16-43C143525853}"/>
              </c:ext>
            </c:extLst>
          </c:dPt>
          <c:dPt>
            <c:idx val="2"/>
            <c:invertIfNegative val="0"/>
            <c:bubble3D val="0"/>
            <c:spPr>
              <a:solidFill>
                <a:srgbClr val="FF0000"/>
              </a:solidFill>
              <a:ln>
                <a:noFill/>
              </a:ln>
              <a:effectLst/>
              <a:sp3d/>
            </c:spPr>
            <c:extLst>
              <c:ext xmlns:c16="http://schemas.microsoft.com/office/drawing/2014/chart" uri="{C3380CC4-5D6E-409C-BE32-E72D297353CC}">
                <c16:uniqueId val="{0000000D-58F0-411F-BB16-43C143525853}"/>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F-58F0-411F-BB16-43C143525853}"/>
              </c:ext>
            </c:extLst>
          </c:dPt>
          <c:dPt>
            <c:idx val="4"/>
            <c:invertIfNegative val="0"/>
            <c:bubble3D val="0"/>
            <c:spPr>
              <a:solidFill>
                <a:srgbClr val="FFFF00"/>
              </a:solidFill>
              <a:ln>
                <a:noFill/>
              </a:ln>
              <a:effectLst/>
              <a:sp3d/>
            </c:spPr>
            <c:extLst>
              <c:ext xmlns:c16="http://schemas.microsoft.com/office/drawing/2014/chart" uri="{C3380CC4-5D6E-409C-BE32-E72D297353CC}">
                <c16:uniqueId val="{00000011-58F0-411F-BB16-43C143525853}"/>
              </c:ext>
            </c:extLst>
          </c:dPt>
          <c:dLbls>
            <c:dLbl>
              <c:idx val="0"/>
              <c:layout>
                <c:manualLayout>
                  <c:x val="9.0857407529941245E-2"/>
                  <c:y val="-6.006006006006010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F0-411F-BB16-43C143525853}"/>
                </c:ext>
              </c:extLst>
            </c:dLbl>
            <c:dLbl>
              <c:idx val="1"/>
              <c:layout>
                <c:manualLayout>
                  <c:x val="5.7514734310905806E-2"/>
                  <c:y val="-2.058079474759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F0-411F-BB16-43C143525853}"/>
                </c:ext>
              </c:extLst>
            </c:dLbl>
            <c:dLbl>
              <c:idx val="2"/>
              <c:layout>
                <c:manualLayout>
                  <c:x val="4.4670501516651737E-2"/>
                  <c:y val="-9.2275200293840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F0-411F-BB16-43C143525853}"/>
                </c:ext>
              </c:extLst>
            </c:dLbl>
            <c:dLbl>
              <c:idx val="3"/>
              <c:layout>
                <c:manualLayout>
                  <c:x val="6.4976660851525384E-2"/>
                  <c:y val="-3.9283456914824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8F0-411F-BB16-43C143525853}"/>
                </c:ext>
              </c:extLst>
            </c:dLbl>
            <c:dLbl>
              <c:idx val="4"/>
              <c:layout>
                <c:manualLayout>
                  <c:x val="7.7367626950822846E-2"/>
                  <c:y val="-9.65328313552643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F0-411F-BB16-43C14352585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PresupuestoVsAdjudicado!$C$2:$C$6</c:f>
              <c:numCache>
                <c:formatCode>_-"$"* #,##0.00_-;\-"$"* #,##0.00_-;_-"$"* "-"??_-;_-@_-</c:formatCode>
                <c:ptCount val="5"/>
                <c:pt idx="0">
                  <c:v>8300791356</c:v>
                </c:pt>
                <c:pt idx="1">
                  <c:v>1124771303</c:v>
                </c:pt>
                <c:pt idx="2">
                  <c:v>52000000</c:v>
                </c:pt>
                <c:pt idx="3">
                  <c:v>691233581</c:v>
                </c:pt>
                <c:pt idx="4">
                  <c:v>258317099</c:v>
                </c:pt>
              </c:numCache>
            </c:numRef>
          </c:val>
          <c:extLst>
            <c:ext xmlns:c16="http://schemas.microsoft.com/office/drawing/2014/chart" uri="{C3380CC4-5D6E-409C-BE32-E72D297353CC}">
              <c16:uniqueId val="{00000013-58F0-411F-BB16-43C143525853}"/>
            </c:ext>
          </c:extLst>
        </c:ser>
        <c:dLbls>
          <c:showLegendKey val="0"/>
          <c:showVal val="1"/>
          <c:showCatName val="0"/>
          <c:showSerName val="0"/>
          <c:showPercent val="0"/>
          <c:showBubbleSize val="0"/>
        </c:dLbls>
        <c:gapWidth val="219"/>
        <c:shape val="box"/>
        <c:axId val="156631808"/>
        <c:axId val="156633344"/>
        <c:axId val="0"/>
      </c:bar3DChart>
      <c:catAx>
        <c:axId val="15663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156633344"/>
        <c:crosses val="autoZero"/>
        <c:auto val="1"/>
        <c:lblAlgn val="ctr"/>
        <c:lblOffset val="100"/>
        <c:noMultiLvlLbl val="0"/>
      </c:catAx>
      <c:valAx>
        <c:axId val="156633344"/>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quot;$&quot;* #,##0.0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156631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600" b="0" cap="none" spc="0">
                <a:ln w="0"/>
                <a:solidFill>
                  <a:schemeClr val="tx1"/>
                </a:solidFill>
                <a:effectLst>
                  <a:outerShdw blurRad="38100" dist="19050" dir="2700000" algn="tl" rotWithShape="0">
                    <a:schemeClr val="dk1">
                      <a:alpha val="40000"/>
                    </a:schemeClr>
                  </a:outerShdw>
                </a:effectLst>
              </a:rPr>
              <a:t>AHORRO GENERADO</a:t>
            </a:r>
            <a:r>
              <a:rPr lang="es-ES" sz="1600" b="0" cap="none" spc="0" baseline="0">
                <a:ln w="0"/>
                <a:solidFill>
                  <a:schemeClr val="tx1"/>
                </a:solidFill>
                <a:effectLst>
                  <a:outerShdw blurRad="38100" dist="19050" dir="2700000" algn="tl" rotWithShape="0">
                    <a:schemeClr val="dk1">
                      <a:alpha val="40000"/>
                    </a:schemeClr>
                  </a:outerShdw>
                </a:effectLst>
              </a:rPr>
              <a:t> A LA ENTIDAD POR MODALIDAD</a:t>
            </a:r>
            <a:endParaRPr lang="es-ES" sz="1600" b="0" cap="none" spc="0">
              <a:ln w="0"/>
              <a:solidFill>
                <a:schemeClr val="tx1"/>
              </a:solidFill>
              <a:effectLst>
                <a:outerShdw blurRad="38100" dist="19050" dir="2700000" algn="tl" rotWithShape="0">
                  <a:schemeClr val="dk1">
                    <a:alpha val="40000"/>
                  </a:schemeClr>
                </a:outerShdw>
              </a:effectLst>
            </a:endParaRP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48337707786526E-2"/>
          <c:y val="0.27398148148148188"/>
          <c:w val="0.93888888888888999"/>
          <c:h val="0.5909106153397492"/>
        </c:manualLayout>
      </c:layout>
      <c:bar3DChart>
        <c:barDir val="col"/>
        <c:grouping val="clustered"/>
        <c:varyColors val="1"/>
        <c:ser>
          <c:idx val="0"/>
          <c:order val="0"/>
          <c:invertIfNegative val="0"/>
          <c:dPt>
            <c:idx val="0"/>
            <c:invertIfNegative val="0"/>
            <c:bubble3D val="0"/>
            <c:spPr>
              <a:solidFill>
                <a:srgbClr val="00B0F0"/>
              </a:solidFill>
              <a:ln>
                <a:noFill/>
              </a:ln>
              <a:effectLst/>
              <a:sp3d/>
            </c:spPr>
            <c:extLst>
              <c:ext xmlns:c16="http://schemas.microsoft.com/office/drawing/2014/chart" uri="{C3380CC4-5D6E-409C-BE32-E72D297353CC}">
                <c16:uniqueId val="{00000001-96E3-414D-A79D-5E1E713103AE}"/>
              </c:ext>
            </c:extLst>
          </c:dPt>
          <c:dPt>
            <c:idx val="1"/>
            <c:invertIfNegative val="0"/>
            <c:bubble3D val="0"/>
            <c:spPr>
              <a:solidFill>
                <a:srgbClr val="C00000"/>
              </a:solidFill>
              <a:ln>
                <a:noFill/>
              </a:ln>
              <a:effectLst/>
              <a:sp3d/>
            </c:spPr>
            <c:extLst>
              <c:ext xmlns:c16="http://schemas.microsoft.com/office/drawing/2014/chart" uri="{C3380CC4-5D6E-409C-BE32-E72D297353CC}">
                <c16:uniqueId val="{00000003-96E3-414D-A79D-5E1E713103AE}"/>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96E3-414D-A79D-5E1E713103AE}"/>
              </c:ext>
            </c:extLst>
          </c:dPt>
          <c:dPt>
            <c:idx val="3"/>
            <c:invertIfNegative val="0"/>
            <c:bubble3D val="0"/>
            <c:spPr>
              <a:solidFill>
                <a:srgbClr val="7030A0"/>
              </a:solidFill>
              <a:ln>
                <a:noFill/>
              </a:ln>
              <a:effectLst/>
              <a:sp3d/>
            </c:spPr>
            <c:extLst>
              <c:ext xmlns:c16="http://schemas.microsoft.com/office/drawing/2014/chart" uri="{C3380CC4-5D6E-409C-BE32-E72D297353CC}">
                <c16:uniqueId val="{00000007-96E3-414D-A79D-5E1E713103AE}"/>
              </c:ext>
            </c:extLst>
          </c:dPt>
          <c:dPt>
            <c:idx val="4"/>
            <c:invertIfNegative val="0"/>
            <c:bubble3D val="0"/>
            <c:spPr>
              <a:solidFill>
                <a:srgbClr val="FFC000"/>
              </a:solidFill>
              <a:ln>
                <a:noFill/>
              </a:ln>
              <a:effectLst/>
              <a:sp3d/>
            </c:spPr>
            <c:extLst>
              <c:ext xmlns:c16="http://schemas.microsoft.com/office/drawing/2014/chart" uri="{C3380CC4-5D6E-409C-BE32-E72D297353CC}">
                <c16:uniqueId val="{00000009-96E3-414D-A79D-5E1E713103AE}"/>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PresupuestoVsAdjudicado!$D$2:$D$6</c:f>
              <c:numCache>
                <c:formatCode>_(* #,##0.00_);_(* \(#,##0.00\);_(* "-"??_);_(@_)</c:formatCode>
                <c:ptCount val="5"/>
                <c:pt idx="0">
                  <c:v>1405246913</c:v>
                </c:pt>
                <c:pt idx="1">
                  <c:v>9923</c:v>
                </c:pt>
                <c:pt idx="2">
                  <c:v>0</c:v>
                </c:pt>
                <c:pt idx="3">
                  <c:v>60973985</c:v>
                </c:pt>
                <c:pt idx="4">
                  <c:v>25560213</c:v>
                </c:pt>
              </c:numCache>
            </c:numRef>
          </c:val>
          <c:extLst>
            <c:ext xmlns:c16="http://schemas.microsoft.com/office/drawing/2014/chart" uri="{C3380CC4-5D6E-409C-BE32-E72D297353CC}">
              <c16:uniqueId val="{0000000A-96E3-414D-A79D-5E1E713103AE}"/>
            </c:ext>
          </c:extLst>
        </c:ser>
        <c:dLbls>
          <c:showLegendKey val="0"/>
          <c:showVal val="1"/>
          <c:showCatName val="0"/>
          <c:showSerName val="0"/>
          <c:showPercent val="0"/>
          <c:showBubbleSize val="0"/>
        </c:dLbls>
        <c:gapWidth val="219"/>
        <c:shape val="box"/>
        <c:axId val="156671360"/>
        <c:axId val="156673152"/>
        <c:axId val="0"/>
      </c:bar3DChart>
      <c:catAx>
        <c:axId val="15667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56673152"/>
        <c:crosses val="autoZero"/>
        <c:auto val="1"/>
        <c:lblAlgn val="ctr"/>
        <c:lblOffset val="100"/>
        <c:noMultiLvlLbl val="0"/>
      </c:catAx>
      <c:valAx>
        <c:axId val="156673152"/>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5667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CARACTERIZACION!$E$27</c:f>
              <c:strCache>
                <c:ptCount val="1"/>
                <c:pt idx="0">
                  <c:v># PERSONAS</c:v>
                </c:pt>
              </c:strCache>
            </c:strRef>
          </c:tx>
          <c:spPr>
            <a:solidFill>
              <a:schemeClr val="accent1">
                <a:lumMod val="40000"/>
                <a:lumOff val="60000"/>
              </a:schemeClr>
            </a:solidFill>
            <a:ln w="9512" cap="flat" cmpd="sng" algn="ctr">
              <a:noFill/>
              <a:round/>
            </a:ln>
            <a:effectLst>
              <a:outerShdw blurRad="40000" dist="20000" dir="5400000" rotWithShape="0">
                <a:srgbClr val="000000">
                  <a:alpha val="38000"/>
                </a:srgbClr>
              </a:outerShdw>
            </a:effectLst>
            <a:sp3d/>
          </c:spPr>
          <c:invertIfNegative val="0"/>
          <c:dLbls>
            <c:spPr>
              <a:noFill/>
              <a:ln w="25366">
                <a:noFill/>
              </a:ln>
            </c:spPr>
            <c:txPr>
              <a:bodyPr wrap="square" lIns="38100" tIns="19050" rIns="38100" bIns="19050" anchor="ctr">
                <a:spAutoFit/>
              </a:bodyPr>
              <a:lstStyle/>
              <a:p>
                <a:pPr>
                  <a:defRPr sz="899"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CARACTERIZACION!$D$28:$D$37</c:f>
              <c:strCache>
                <c:ptCount val="10"/>
                <c:pt idx="0">
                  <c:v>1. Ed. Inicial</c:v>
                </c:pt>
                <c:pt idx="1">
                  <c:v>2. Primaria</c:v>
                </c:pt>
                <c:pt idx="2">
                  <c:v>3. Secundaria</c:v>
                </c:pt>
                <c:pt idx="3">
                  <c:v>4. Técnico</c:v>
                </c:pt>
                <c:pt idx="4">
                  <c:v>5. Tecnología</c:v>
                </c:pt>
                <c:pt idx="5">
                  <c:v>6. Universitaria</c:v>
                </c:pt>
                <c:pt idx="6">
                  <c:v>7. Postgrado</c:v>
                </c:pt>
                <c:pt idx="7">
                  <c:v>8. Analfabeta</c:v>
                </c:pt>
                <c:pt idx="8">
                  <c:v>9. Niños, niñas y adolescentes desescolarizados</c:v>
                </c:pt>
                <c:pt idx="9">
                  <c:v>10. Ninguno</c:v>
                </c:pt>
              </c:strCache>
            </c:strRef>
          </c:cat>
          <c:val>
            <c:numRef>
              <c:f>CARACTERIZACION!$E$28:$E$37</c:f>
              <c:numCache>
                <c:formatCode>0</c:formatCode>
                <c:ptCount val="10"/>
                <c:pt idx="0">
                  <c:v>259</c:v>
                </c:pt>
                <c:pt idx="1">
                  <c:v>1909</c:v>
                </c:pt>
                <c:pt idx="2">
                  <c:v>2484</c:v>
                </c:pt>
                <c:pt idx="3">
                  <c:v>211</c:v>
                </c:pt>
                <c:pt idx="4">
                  <c:v>70</c:v>
                </c:pt>
                <c:pt idx="5">
                  <c:v>218</c:v>
                </c:pt>
                <c:pt idx="6">
                  <c:v>0</c:v>
                </c:pt>
                <c:pt idx="7">
                  <c:v>60</c:v>
                </c:pt>
                <c:pt idx="8">
                  <c:v>1</c:v>
                </c:pt>
                <c:pt idx="9">
                  <c:v>241</c:v>
                </c:pt>
              </c:numCache>
            </c:numRef>
          </c:val>
          <c:extLst>
            <c:ext xmlns:c16="http://schemas.microsoft.com/office/drawing/2014/chart" uri="{C3380CC4-5D6E-409C-BE32-E72D297353CC}">
              <c16:uniqueId val="{00000000-5E43-447A-B455-8C41E25517DE}"/>
            </c:ext>
          </c:extLst>
        </c:ser>
        <c:dLbls>
          <c:showLegendKey val="0"/>
          <c:showVal val="0"/>
          <c:showCatName val="0"/>
          <c:showSerName val="0"/>
          <c:showPercent val="0"/>
          <c:showBubbleSize val="0"/>
        </c:dLbls>
        <c:gapWidth val="150"/>
        <c:shape val="box"/>
        <c:axId val="161330504"/>
        <c:axId val="1"/>
        <c:axId val="0"/>
      </c:bar3DChart>
      <c:catAx>
        <c:axId val="161330504"/>
        <c:scaling>
          <c:orientation val="minMax"/>
        </c:scaling>
        <c:delete val="0"/>
        <c:axPos val="b"/>
        <c:numFmt formatCode="General" sourceLinked="1"/>
        <c:majorTickMark val="none"/>
        <c:minorTickMark val="none"/>
        <c:tickLblPos val="nextTo"/>
        <c:spPr>
          <a:ln w="6342">
            <a:noFill/>
          </a:ln>
        </c:spPr>
        <c:txPr>
          <a:bodyPr rot="-2700000" vert="horz"/>
          <a:lstStyle/>
          <a:p>
            <a:pPr>
              <a:defRPr sz="899"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1330504"/>
        <c:crosses val="autoZero"/>
        <c:crossBetween val="between"/>
      </c:valAx>
      <c:spPr>
        <a:noFill/>
        <a:ln w="25366">
          <a:noFill/>
        </a:ln>
      </c:spPr>
    </c:plotArea>
    <c:plotVisOnly val="1"/>
    <c:dispBlanksAs val="gap"/>
    <c:showDLblsOverMax val="0"/>
  </c:chart>
  <c:spPr>
    <a:solidFill>
      <a:schemeClr val="bg1"/>
    </a:solidFill>
    <a:ln>
      <a:noFill/>
    </a:ln>
    <a:effectLst/>
  </c:spPr>
  <c:txPr>
    <a:bodyPr/>
    <a:lstStyle/>
    <a:p>
      <a:pPr>
        <a:defRPr sz="899" b="1" i="0" u="none" strike="noStrike" baseline="0">
          <a:solidFill>
            <a:srgbClr val="000000"/>
          </a:solidFill>
          <a:latin typeface="Arial"/>
          <a:ea typeface="Arial"/>
          <a:cs typeface="Arial"/>
        </a:defRPr>
      </a:pPr>
      <a:endParaRPr lang="es-E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r>
              <a:rPr lang="es-ES">
                <a:solidFill>
                  <a:schemeClr val="tx1"/>
                </a:solidFill>
              </a:rPr>
              <a:t>CONCURRENCIA DE PROPONENTES</a:t>
            </a: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92D05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00B0F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5D4-48D6-84E4-74BAC76840B0}"/>
              </c:ext>
            </c:extLst>
          </c:dPt>
          <c:dPt>
            <c:idx val="1"/>
            <c:invertIfNegative val="0"/>
            <c:bubble3D val="0"/>
            <c:spPr>
              <a:solidFill>
                <a:srgbClr val="C0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5D4-48D6-84E4-74BAC76840B0}"/>
              </c:ext>
            </c:extLst>
          </c:dPt>
          <c:dPt>
            <c:idx val="3"/>
            <c:invertIfNegative val="0"/>
            <c:bubble3D val="0"/>
            <c:spPr>
              <a:solidFill>
                <a:srgbClr val="7030A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5D4-48D6-84E4-74BAC76840B0}"/>
              </c:ext>
            </c:extLst>
          </c:dPt>
          <c:dPt>
            <c:idx val="4"/>
            <c:invertIfNegative val="0"/>
            <c:bubble3D val="0"/>
            <c:spPr>
              <a:solidFill>
                <a:srgbClr val="FFC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5D4-48D6-84E4-74BAC76840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Hoja1!$A$12:$A$16</c:f>
              <c:strCache>
                <c:ptCount val="5"/>
                <c:pt idx="0">
                  <c:v>CONCURSO DE MÉRITOS</c:v>
                </c:pt>
                <c:pt idx="1">
                  <c:v>Licitación Pública</c:v>
                </c:pt>
                <c:pt idx="2">
                  <c:v>MENOR CUANTÍA</c:v>
                </c:pt>
                <c:pt idx="3">
                  <c:v>MÍNIMA CUANTÍA</c:v>
                </c:pt>
                <c:pt idx="4">
                  <c:v>SUBASTA INVERSA</c:v>
                </c:pt>
              </c:strCache>
            </c:strRef>
          </c:cat>
          <c:val>
            <c:numRef>
              <c:f>Hoja1!$B$12:$B$16</c:f>
              <c:numCache>
                <c:formatCode>General</c:formatCode>
                <c:ptCount val="5"/>
                <c:pt idx="0">
                  <c:v>77</c:v>
                </c:pt>
                <c:pt idx="1">
                  <c:v>363</c:v>
                </c:pt>
                <c:pt idx="2">
                  <c:v>3</c:v>
                </c:pt>
                <c:pt idx="3">
                  <c:v>119</c:v>
                </c:pt>
                <c:pt idx="4">
                  <c:v>83</c:v>
                </c:pt>
              </c:numCache>
            </c:numRef>
          </c:val>
          <c:extLst>
            <c:ext xmlns:c16="http://schemas.microsoft.com/office/drawing/2014/chart" uri="{C3380CC4-5D6E-409C-BE32-E72D297353CC}">
              <c16:uniqueId val="{00000008-E5D4-48D6-84E4-74BAC76840B0}"/>
            </c:ext>
          </c:extLst>
        </c:ser>
        <c:dLbls>
          <c:showLegendKey val="0"/>
          <c:showVal val="1"/>
          <c:showCatName val="0"/>
          <c:showSerName val="0"/>
          <c:showPercent val="0"/>
          <c:showBubbleSize val="0"/>
        </c:dLbls>
        <c:gapWidth val="115"/>
        <c:shape val="box"/>
        <c:axId val="156780416"/>
        <c:axId val="156781952"/>
        <c:axId val="0"/>
      </c:bar3DChart>
      <c:catAx>
        <c:axId val="1567804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156781952"/>
        <c:crosses val="autoZero"/>
        <c:auto val="1"/>
        <c:lblAlgn val="ctr"/>
        <c:lblOffset val="100"/>
        <c:noMultiLvlLbl val="0"/>
      </c:catAx>
      <c:valAx>
        <c:axId val="156781952"/>
        <c:scaling>
          <c:orientation val="minMax"/>
        </c:scaling>
        <c:delete val="0"/>
        <c:axPos val="l"/>
        <c:majorGridlines>
          <c:spPr>
            <a:ln w="9525" cap="flat" cmpd="sng" algn="ctr">
              <a:solidFill>
                <a:schemeClr val="bg1">
                  <a:lumMod val="6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156780416"/>
        <c:crosses val="autoZero"/>
        <c:crossBetween val="between"/>
      </c:valAx>
      <c:spPr>
        <a:noFill/>
        <a:ln>
          <a:noFill/>
        </a:ln>
        <a:effectLst/>
      </c:spPr>
    </c:plotArea>
    <c:plotVisOnly val="1"/>
    <c:dispBlanksAs val="gap"/>
    <c:showDLblsOverMax val="0"/>
  </c:chart>
  <c:spPr>
    <a:solidFill>
      <a:schemeClr val="bg1"/>
    </a:solidFill>
    <a:ln>
      <a:noFill/>
    </a:ln>
    <a:effectLst/>
  </c:spPr>
  <c:txPr>
    <a:bodyPr/>
    <a:lstStyle/>
    <a:p>
      <a:pPr>
        <a:defRPr/>
      </a:pPr>
      <a:endParaRPr lang="es-E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[informe PENTICIONES 01-01-2016 al 31-12-2016 (20).xlsx]TIPOLGIAS!TablaDinámica3</c:name>
    <c:fmtId val="-1"/>
  </c:pivotSource>
  <c:chart>
    <c:title>
      <c:tx>
        <c:rich>
          <a:bodyPr rot="0" spcFirstLastPara="1" vertOverflow="ellipsis" vert="horz" wrap="square" anchor="ctr" anchorCtr="1"/>
          <a:lstStyle/>
          <a:p>
            <a:pPr>
              <a:defRPr sz="14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sz="1600" b="1" cap="none" spc="0">
                <a:ln w="0"/>
                <a:solidFill>
                  <a:schemeClr val="tx1"/>
                </a:solidFill>
                <a:effectLst>
                  <a:outerShdw blurRad="38100" dist="19050" dir="2700000" algn="tl" rotWithShape="0">
                    <a:schemeClr val="dk1">
                      <a:alpha val="40000"/>
                    </a:schemeClr>
                  </a:outerShdw>
                </a:effectLst>
              </a:rPr>
              <a:t>Tipolog</a:t>
            </a:r>
            <a:r>
              <a:rPr lang="es-ES" sz="1600" b="1" i="0" u="none" strike="noStrike" cap="none" spc="0" baseline="0">
                <a:ln w="0"/>
                <a:solidFill>
                  <a:schemeClr val="tx1"/>
                </a:solidFill>
                <a:effectLst>
                  <a:outerShdw blurRad="38100" dist="19050" dir="2700000" algn="tl" rotWithShape="0">
                    <a:schemeClr val="dk1">
                      <a:alpha val="40000"/>
                    </a:schemeClr>
                  </a:outerShdw>
                </a:effectLst>
              </a:rPr>
              <a:t>í</a:t>
            </a:r>
            <a:r>
              <a:rPr lang="en-US" sz="1600" b="1" cap="none" spc="0">
                <a:ln w="0"/>
                <a:solidFill>
                  <a:schemeClr val="tx1"/>
                </a:solidFill>
                <a:effectLst>
                  <a:outerShdw blurRad="38100" dist="19050" dir="2700000" algn="tl" rotWithShape="0">
                    <a:schemeClr val="dk1">
                      <a:alpha val="40000"/>
                    </a:schemeClr>
                  </a:outerShdw>
                </a:effectLst>
              </a:rPr>
              <a:t>as</a:t>
            </a:r>
          </a:p>
        </c:rich>
      </c:tx>
      <c:overlay val="0"/>
      <c:spPr>
        <a:noFill/>
        <a:ln>
          <a:noFill/>
        </a:ln>
        <a:effectLst/>
      </c:spPr>
    </c:title>
    <c:autoTitleDeleted val="0"/>
    <c:pivotFmts>
      <c:pivotFmt>
        <c:idx val="0"/>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9"/>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0"/>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1"/>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TIPOLGIAS!$B$4</c:f>
              <c:strCache>
                <c:ptCount val="1"/>
                <c:pt idx="0">
                  <c:v>Total</c:v>
                </c:pt>
              </c:strCache>
            </c:strRef>
          </c:tx>
          <c:spPr>
            <a:solidFill>
              <a:srgbClr val="FF0000"/>
            </a:soli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1-FB15-4092-840D-E2227ED9E0D4}"/>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FB15-4092-840D-E2227ED9E0D4}"/>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FB15-4092-840D-E2227ED9E0D4}"/>
              </c:ext>
            </c:extLst>
          </c:dPt>
          <c:dPt>
            <c:idx val="3"/>
            <c:invertIfNegative val="0"/>
            <c:bubble3D val="0"/>
            <c:spPr>
              <a:solidFill>
                <a:srgbClr val="C00000"/>
              </a:solidFill>
              <a:ln>
                <a:noFill/>
              </a:ln>
              <a:effectLst/>
              <a:sp3d/>
            </c:spPr>
            <c:extLst>
              <c:ext xmlns:c16="http://schemas.microsoft.com/office/drawing/2014/chart" uri="{C3380CC4-5D6E-409C-BE32-E72D297353CC}">
                <c16:uniqueId val="{00000007-FB15-4092-840D-E2227ED9E0D4}"/>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FB15-4092-840D-E2227ED9E0D4}"/>
              </c:ext>
            </c:extLst>
          </c:dPt>
          <c:dPt>
            <c:idx val="5"/>
            <c:invertIfNegative val="0"/>
            <c:bubble3D val="0"/>
            <c:spPr>
              <a:solidFill>
                <a:srgbClr val="FFFF00"/>
              </a:solidFill>
              <a:ln>
                <a:noFill/>
              </a:ln>
              <a:effectLst/>
              <a:sp3d/>
            </c:spPr>
            <c:extLst>
              <c:ext xmlns:c16="http://schemas.microsoft.com/office/drawing/2014/chart" uri="{C3380CC4-5D6E-409C-BE32-E72D297353CC}">
                <c16:uniqueId val="{0000000B-FB15-4092-840D-E2227ED9E0D4}"/>
              </c:ext>
            </c:extLst>
          </c:dPt>
          <c:dPt>
            <c:idx val="6"/>
            <c:invertIfNegative val="0"/>
            <c:bubble3D val="0"/>
            <c:spPr>
              <a:solidFill>
                <a:srgbClr val="7030A0"/>
              </a:solidFill>
              <a:ln>
                <a:noFill/>
              </a:ln>
              <a:effectLst/>
              <a:sp3d/>
            </c:spPr>
            <c:extLst>
              <c:ext xmlns:c16="http://schemas.microsoft.com/office/drawing/2014/chart" uri="{C3380CC4-5D6E-409C-BE32-E72D297353CC}">
                <c16:uniqueId val="{0000000D-FB15-4092-840D-E2227ED9E0D4}"/>
              </c:ext>
            </c:extLst>
          </c:dPt>
          <c:dPt>
            <c:idx val="7"/>
            <c:invertIfNegative val="0"/>
            <c:bubble3D val="0"/>
            <c:spPr>
              <a:solidFill>
                <a:srgbClr val="00B050"/>
              </a:solidFill>
              <a:ln>
                <a:noFill/>
              </a:ln>
              <a:effectLst/>
              <a:sp3d/>
            </c:spPr>
            <c:extLst>
              <c:ext xmlns:c16="http://schemas.microsoft.com/office/drawing/2014/chart" uri="{C3380CC4-5D6E-409C-BE32-E72D297353CC}">
                <c16:uniqueId val="{0000000F-FB15-4092-840D-E2227ED9E0D4}"/>
              </c:ext>
            </c:extLst>
          </c:dPt>
          <c:dPt>
            <c:idx val="9"/>
            <c:invertIfNegative val="0"/>
            <c:bubble3D val="0"/>
            <c:spPr>
              <a:solidFill>
                <a:srgbClr val="002060"/>
              </a:solidFill>
              <a:ln>
                <a:noFill/>
              </a:ln>
              <a:effectLst/>
              <a:sp3d/>
            </c:spPr>
            <c:extLst>
              <c:ext xmlns:c16="http://schemas.microsoft.com/office/drawing/2014/chart" uri="{C3380CC4-5D6E-409C-BE32-E72D297353CC}">
                <c16:uniqueId val="{00000011-FB15-4092-840D-E2227ED9E0D4}"/>
              </c:ext>
            </c:extLst>
          </c:dPt>
          <c:dLbls>
            <c:dLbl>
              <c:idx val="0"/>
              <c:layout>
                <c:manualLayout>
                  <c:x val="1.626016260162602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15-4092-840D-E2227ED9E0D4}"/>
                </c:ext>
              </c:extLst>
            </c:dLbl>
            <c:dLbl>
              <c:idx val="1"/>
              <c:layout>
                <c:manualLayout>
                  <c:x val="2.276422764227644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15-4092-840D-E2227ED9E0D4}"/>
                </c:ext>
              </c:extLst>
            </c:dLbl>
            <c:dLbl>
              <c:idx val="2"/>
              <c:layout>
                <c:manualLayout>
                  <c:x val="1.4634146341463415E-2"/>
                  <c:y val="-1.4294827227808357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15-4092-840D-E2227ED9E0D4}"/>
                </c:ext>
              </c:extLst>
            </c:dLbl>
            <c:dLbl>
              <c:idx val="3"/>
              <c:layout>
                <c:manualLayout>
                  <c:x val="1.3008130081300823E-2"/>
                  <c:y val="-7.147413613904184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B15-4092-840D-E2227ED9E0D4}"/>
                </c:ext>
              </c:extLst>
            </c:dLbl>
            <c:dLbl>
              <c:idx val="4"/>
              <c:layout>
                <c:manualLayout>
                  <c:x val="1.463414634146336E-2"/>
                  <c:y val="-1.94931714039166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15-4092-840D-E2227ED9E0D4}"/>
                </c:ext>
              </c:extLst>
            </c:dLbl>
            <c:dLbl>
              <c:idx val="5"/>
              <c:layout>
                <c:manualLayout>
                  <c:x val="1.9512195121951161E-2"/>
                  <c:y val="-5.84795142117499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B15-4092-840D-E2227ED9E0D4}"/>
                </c:ext>
              </c:extLst>
            </c:dLbl>
            <c:dLbl>
              <c:idx val="6"/>
              <c:layout>
                <c:manualLayout>
                  <c:x val="1.9512195121951161E-2"/>
                  <c:y val="-5.84795142117499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B15-4092-840D-E2227ED9E0D4}"/>
                </c:ext>
              </c:extLst>
            </c:dLbl>
            <c:dLbl>
              <c:idx val="7"/>
              <c:layout>
                <c:manualLayout>
                  <c:x val="1.6260162601625969E-2"/>
                  <c:y val="-1.94931714039174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B15-4092-840D-E2227ED9E0D4}"/>
                </c:ext>
              </c:extLst>
            </c:dLbl>
            <c:dLbl>
              <c:idx val="8"/>
              <c:layout>
                <c:manualLayout>
                  <c:x val="1.4634146341463415E-2"/>
                  <c:y val="-3.573706806952094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B15-4092-840D-E2227ED9E0D4}"/>
                </c:ext>
              </c:extLst>
            </c:dLbl>
            <c:dLbl>
              <c:idx val="9"/>
              <c:layout>
                <c:manualLayout>
                  <c:x val="1.626016260162596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B15-4092-840D-E2227ED9E0D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TIPOLGIAS!$A$5:$A$15</c:f>
              <c:strCache>
                <c:ptCount val="10"/>
                <c:pt idx="0">
                  <c:v>CONSULTA</c:v>
                </c:pt>
                <c:pt idx="1">
                  <c:v>DENUNCIA POR ACTOS DE CORRUPCIÓN</c:v>
                </c:pt>
                <c:pt idx="2">
                  <c:v>DERECHO DE PETICIÓN DE INTERÉS GENERAL</c:v>
                </c:pt>
                <c:pt idx="3">
                  <c:v>DERECHO DE PETICIÓN DE INTERÉS PARTICULAR</c:v>
                </c:pt>
                <c:pt idx="4">
                  <c:v>FELICITACIÓN</c:v>
                </c:pt>
                <c:pt idx="5">
                  <c:v>QUEJA</c:v>
                </c:pt>
                <c:pt idx="6">
                  <c:v>RECLAMO</c:v>
                </c:pt>
                <c:pt idx="7">
                  <c:v>SOLICITUD DE COPIA</c:v>
                </c:pt>
                <c:pt idx="8">
                  <c:v>SOLICITUD DE INFORMACIÓN</c:v>
                </c:pt>
                <c:pt idx="9">
                  <c:v>SUGERENCIA</c:v>
                </c:pt>
              </c:strCache>
            </c:strRef>
          </c:cat>
          <c:val>
            <c:numRef>
              <c:f>TIPOLGIAS!$B$5:$B$15</c:f>
              <c:numCache>
                <c:formatCode>General</c:formatCode>
                <c:ptCount val="10"/>
                <c:pt idx="0">
                  <c:v>18</c:v>
                </c:pt>
                <c:pt idx="1">
                  <c:v>5</c:v>
                </c:pt>
                <c:pt idx="2">
                  <c:v>339</c:v>
                </c:pt>
                <c:pt idx="3">
                  <c:v>4015</c:v>
                </c:pt>
                <c:pt idx="4">
                  <c:v>15</c:v>
                </c:pt>
                <c:pt idx="5">
                  <c:v>45</c:v>
                </c:pt>
                <c:pt idx="6">
                  <c:v>35</c:v>
                </c:pt>
                <c:pt idx="7">
                  <c:v>150</c:v>
                </c:pt>
                <c:pt idx="8">
                  <c:v>455</c:v>
                </c:pt>
                <c:pt idx="9">
                  <c:v>7</c:v>
                </c:pt>
              </c:numCache>
            </c:numRef>
          </c:val>
          <c:extLst>
            <c:ext xmlns:c16="http://schemas.microsoft.com/office/drawing/2014/chart" uri="{C3380CC4-5D6E-409C-BE32-E72D297353CC}">
              <c16:uniqueId val="{00000013-FB15-4092-840D-E2227ED9E0D4}"/>
            </c:ext>
          </c:extLst>
        </c:ser>
        <c:dLbls>
          <c:showLegendKey val="0"/>
          <c:showVal val="1"/>
          <c:showCatName val="0"/>
          <c:showSerName val="0"/>
          <c:showPercent val="0"/>
          <c:showBubbleSize val="0"/>
        </c:dLbls>
        <c:gapWidth val="50"/>
        <c:gapDepth val="300"/>
        <c:shape val="box"/>
        <c:axId val="161220096"/>
        <c:axId val="161221632"/>
        <c:axId val="0"/>
      </c:bar3DChart>
      <c:catAx>
        <c:axId val="16122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161221632"/>
        <c:crosses val="autoZero"/>
        <c:auto val="1"/>
        <c:lblAlgn val="ctr"/>
        <c:lblOffset val="100"/>
        <c:noMultiLvlLbl val="0"/>
      </c:catAx>
      <c:valAx>
        <c:axId val="161221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1612200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[informe PENTICIONES 01-01-2016 al 31-12-2016 (20).xlsx]TIPOLGIAS!TablaDinámica3</c:name>
    <c:fmtId val="-1"/>
  </c:pivotSource>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800" b="1" i="0" baseline="0">
                <a:solidFill>
                  <a:schemeClr val="tx1"/>
                </a:solidFill>
                <a:effectLst>
                  <a:outerShdw blurRad="38100" dist="19050" dir="2700000" algn="tl" rotWithShape="0">
                    <a:schemeClr val="dk1">
                      <a:alpha val="40000"/>
                    </a:schemeClr>
                  </a:outerShdw>
                </a:effectLst>
              </a:rPr>
              <a:t>Tipolog</a:t>
            </a:r>
            <a:r>
              <a:rPr lang="es-ES" sz="1800" b="1" i="0" baseline="0">
                <a:solidFill>
                  <a:schemeClr val="tx1"/>
                </a:solidFill>
                <a:effectLst>
                  <a:outerShdw blurRad="38100" dist="19050" dir="2700000" algn="tl" rotWithShape="0">
                    <a:schemeClr val="dk1">
                      <a:alpha val="40000"/>
                    </a:schemeClr>
                  </a:outerShdw>
                </a:effectLst>
              </a:rPr>
              <a:t>í</a:t>
            </a:r>
            <a:r>
              <a:rPr lang="en-US" sz="1800" b="1" i="0" baseline="0">
                <a:solidFill>
                  <a:schemeClr val="tx1"/>
                </a:solidFill>
                <a:effectLst>
                  <a:outerShdw blurRad="38100" dist="19050" dir="2700000" algn="tl" rotWithShape="0">
                    <a:schemeClr val="dk1">
                      <a:alpha val="40000"/>
                    </a:schemeClr>
                  </a:outerShdw>
                </a:effectLst>
              </a:rPr>
              <a:t>as</a:t>
            </a:r>
            <a:endParaRPr lang="es-ES" sz="1600">
              <a:solidFill>
                <a:schemeClr val="tx1"/>
              </a:solidFill>
              <a:effectLst/>
            </a:endParaRPr>
          </a:p>
        </c:rich>
      </c:tx>
      <c:overlay val="0"/>
      <c:spPr>
        <a:noFill/>
        <a:ln>
          <a:noFill/>
        </a:ln>
        <a:effectLst/>
      </c:spPr>
    </c:title>
    <c:autoTitleDeleted val="0"/>
    <c:pivotFmts>
      <c:pivotFmt>
        <c:idx val="0"/>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FF0000"/>
          </a:solidFill>
          <a:ln>
            <a:noFill/>
          </a:ln>
          <a:effectLst/>
          <a:sp3d/>
        </c:spPr>
        <c:marker>
          <c:symbol val="none"/>
        </c:marker>
        <c:dLbl>
          <c:idx val="0"/>
          <c:delete val="1"/>
          <c:extLst>
            <c:ext xmlns:c15="http://schemas.microsoft.com/office/drawing/2012/chart" uri="{CE6537A1-D6FC-4f65-9D91-7224C49458BB}"/>
          </c:extLst>
        </c:dLbl>
      </c:pivotFmt>
      <c:pivotFmt>
        <c:idx val="23"/>
        <c:spPr>
          <a:solidFill>
            <a:srgbClr val="FFC000"/>
          </a:solidFill>
          <a:ln>
            <a:noFill/>
          </a:ln>
          <a:effectLst/>
          <a:sp3d/>
        </c:spPr>
      </c:pivotFmt>
      <c:pivotFmt>
        <c:idx val="24"/>
        <c:spPr>
          <a:solidFill>
            <a:srgbClr val="7030A0"/>
          </a:solidFill>
          <a:ln>
            <a:noFill/>
          </a:ln>
          <a:effectLst/>
          <a:sp3d/>
        </c:spPr>
      </c:pivotFmt>
      <c:pivotFmt>
        <c:idx val="25"/>
        <c:spPr>
          <a:solidFill>
            <a:srgbClr val="92D050"/>
          </a:solidFill>
          <a:ln>
            <a:noFill/>
          </a:ln>
          <a:effectLst/>
          <a:sp3d/>
        </c:spPr>
      </c:pivotFmt>
      <c:pivotFmt>
        <c:idx val="26"/>
        <c:spPr>
          <a:solidFill>
            <a:srgbClr val="C00000"/>
          </a:solidFill>
          <a:ln>
            <a:noFill/>
          </a:ln>
          <a:effectLst/>
          <a:sp3d/>
        </c:spPr>
      </c:pivotFmt>
      <c:pivotFmt>
        <c:idx val="27"/>
        <c:spPr>
          <a:solidFill>
            <a:srgbClr val="00B0F0"/>
          </a:solidFill>
          <a:ln>
            <a:noFill/>
          </a:ln>
          <a:effectLst/>
          <a:sp3d/>
        </c:spPr>
      </c:pivotFmt>
      <c:pivotFmt>
        <c:idx val="28"/>
        <c:spPr>
          <a:solidFill>
            <a:srgbClr val="FFFF00"/>
          </a:solidFill>
          <a:ln>
            <a:noFill/>
          </a:ln>
          <a:effectLst/>
          <a:sp3d/>
        </c:spPr>
      </c:pivotFmt>
      <c:pivotFmt>
        <c:idx val="29"/>
        <c:spPr>
          <a:solidFill>
            <a:srgbClr val="7030A0"/>
          </a:solidFill>
          <a:ln>
            <a:noFill/>
          </a:ln>
          <a:effectLst/>
          <a:sp3d/>
        </c:spPr>
      </c:pivotFmt>
      <c:pivotFmt>
        <c:idx val="30"/>
        <c:spPr>
          <a:solidFill>
            <a:srgbClr val="00B050"/>
          </a:solidFill>
          <a:ln>
            <a:noFill/>
          </a:ln>
          <a:effectLst/>
          <a:sp3d/>
        </c:spPr>
      </c:pivotFmt>
      <c:pivotFmt>
        <c:idx val="31"/>
        <c:spPr>
          <a:solidFill>
            <a:srgbClr val="FF0000"/>
          </a:solidFill>
          <a:ln>
            <a:noFill/>
          </a:ln>
          <a:effectLst/>
          <a:sp3d/>
        </c:spPr>
      </c:pivotFmt>
      <c:pivotFmt>
        <c:idx val="32"/>
        <c:spPr>
          <a:solidFill>
            <a:srgbClr val="002060"/>
          </a:solidFill>
          <a:ln>
            <a:noFill/>
          </a:ln>
          <a:effectLst/>
          <a:sp3d/>
        </c:spPr>
      </c:pivotFmt>
      <c:pivotFmt>
        <c:idx val="33"/>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9"/>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0"/>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1"/>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3"/>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4"/>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5"/>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6"/>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7"/>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8"/>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9"/>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0"/>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1"/>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2"/>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3"/>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4"/>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TIPOLGIAS!$B$4</c:f>
              <c:strCache>
                <c:ptCount val="1"/>
                <c:pt idx="0">
                  <c:v>Total</c:v>
                </c:pt>
              </c:strCache>
            </c:strRef>
          </c:tx>
          <c:spPr>
            <a:solidFill>
              <a:srgbClr val="FF0000"/>
            </a:soli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1-80E5-4216-A226-953D86D406E5}"/>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80E5-4216-A226-953D86D406E5}"/>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80E5-4216-A226-953D86D406E5}"/>
              </c:ext>
            </c:extLst>
          </c:dPt>
          <c:dPt>
            <c:idx val="3"/>
            <c:invertIfNegative val="0"/>
            <c:bubble3D val="0"/>
            <c:spPr>
              <a:solidFill>
                <a:srgbClr val="C00000"/>
              </a:solidFill>
              <a:ln>
                <a:noFill/>
              </a:ln>
              <a:effectLst/>
              <a:sp3d/>
            </c:spPr>
            <c:extLst>
              <c:ext xmlns:c16="http://schemas.microsoft.com/office/drawing/2014/chart" uri="{C3380CC4-5D6E-409C-BE32-E72D297353CC}">
                <c16:uniqueId val="{00000007-80E5-4216-A226-953D86D406E5}"/>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80E5-4216-A226-953D86D406E5}"/>
              </c:ext>
            </c:extLst>
          </c:dPt>
          <c:dPt>
            <c:idx val="5"/>
            <c:invertIfNegative val="0"/>
            <c:bubble3D val="0"/>
            <c:spPr>
              <a:solidFill>
                <a:srgbClr val="FFFF00"/>
              </a:solidFill>
              <a:ln>
                <a:noFill/>
              </a:ln>
              <a:effectLst/>
              <a:sp3d/>
            </c:spPr>
            <c:extLst>
              <c:ext xmlns:c16="http://schemas.microsoft.com/office/drawing/2014/chart" uri="{C3380CC4-5D6E-409C-BE32-E72D297353CC}">
                <c16:uniqueId val="{0000000B-80E5-4216-A226-953D86D406E5}"/>
              </c:ext>
            </c:extLst>
          </c:dPt>
          <c:dPt>
            <c:idx val="6"/>
            <c:invertIfNegative val="0"/>
            <c:bubble3D val="0"/>
            <c:spPr>
              <a:solidFill>
                <a:srgbClr val="7030A0"/>
              </a:solidFill>
              <a:ln>
                <a:noFill/>
              </a:ln>
              <a:effectLst/>
              <a:sp3d/>
            </c:spPr>
            <c:extLst>
              <c:ext xmlns:c16="http://schemas.microsoft.com/office/drawing/2014/chart" uri="{C3380CC4-5D6E-409C-BE32-E72D297353CC}">
                <c16:uniqueId val="{0000000D-80E5-4216-A226-953D86D406E5}"/>
              </c:ext>
            </c:extLst>
          </c:dPt>
          <c:dPt>
            <c:idx val="7"/>
            <c:invertIfNegative val="0"/>
            <c:bubble3D val="0"/>
            <c:spPr>
              <a:solidFill>
                <a:srgbClr val="00B050"/>
              </a:solidFill>
              <a:ln>
                <a:noFill/>
              </a:ln>
              <a:effectLst/>
              <a:sp3d/>
            </c:spPr>
            <c:extLst>
              <c:ext xmlns:c16="http://schemas.microsoft.com/office/drawing/2014/chart" uri="{C3380CC4-5D6E-409C-BE32-E72D297353CC}">
                <c16:uniqueId val="{0000000F-80E5-4216-A226-953D86D406E5}"/>
              </c:ext>
            </c:extLst>
          </c:dPt>
          <c:dPt>
            <c:idx val="9"/>
            <c:invertIfNegative val="0"/>
            <c:bubble3D val="0"/>
            <c:spPr>
              <a:solidFill>
                <a:srgbClr val="002060"/>
              </a:solidFill>
              <a:ln>
                <a:noFill/>
              </a:ln>
              <a:effectLst/>
              <a:sp3d/>
            </c:spPr>
            <c:extLst>
              <c:ext xmlns:c16="http://schemas.microsoft.com/office/drawing/2014/chart" uri="{C3380CC4-5D6E-409C-BE32-E72D297353CC}">
                <c16:uniqueId val="{00000011-80E5-4216-A226-953D86D406E5}"/>
              </c:ext>
            </c:extLst>
          </c:dPt>
          <c:dLbls>
            <c:dLbl>
              <c:idx val="0"/>
              <c:layout>
                <c:manualLayout>
                  <c:x val="1.6260162601626021E-2"/>
                  <c:y val="0"/>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E5-4216-A226-953D86D406E5}"/>
                </c:ext>
              </c:extLst>
            </c:dLbl>
            <c:dLbl>
              <c:idx val="1"/>
              <c:layout>
                <c:manualLayout>
                  <c:x val="2.2764227642276442E-2"/>
                  <c:y val="0"/>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E5-4216-A226-953D86D406E5}"/>
                </c:ext>
              </c:extLst>
            </c:dLbl>
            <c:dLbl>
              <c:idx val="2"/>
              <c:layout>
                <c:manualLayout>
                  <c:x val="1.4634146341463415E-2"/>
                  <c:y val="-1.4294827227808357E-16"/>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E5-4216-A226-953D86D406E5}"/>
                </c:ext>
              </c:extLst>
            </c:dLbl>
            <c:dLbl>
              <c:idx val="3"/>
              <c:layout>
                <c:manualLayout>
                  <c:x val="1.3008130081300823E-2"/>
                  <c:y val="-7.1474136139041845E-17"/>
                </c:manualLayout>
              </c:layout>
              <c:tx>
                <c:rich>
                  <a:bodyPr/>
                  <a:lstStyle/>
                  <a:p>
                    <a:r>
                      <a:rPr lang="en-US"/>
                      <a:t>4035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E5-4216-A226-953D86D406E5}"/>
                </c:ext>
              </c:extLst>
            </c:dLbl>
            <c:dLbl>
              <c:idx val="4"/>
              <c:layout>
                <c:manualLayout>
                  <c:x val="1.463414634146336E-2"/>
                  <c:y val="-1.94931714039166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E5-4216-A226-953D86D406E5}"/>
                </c:ext>
              </c:extLst>
            </c:dLbl>
            <c:dLbl>
              <c:idx val="5"/>
              <c:layout>
                <c:manualLayout>
                  <c:x val="1.9512195121951161E-2"/>
                  <c:y val="-5.8479514211749904E-3"/>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0E5-4216-A226-953D86D406E5}"/>
                </c:ext>
              </c:extLst>
            </c:dLbl>
            <c:dLbl>
              <c:idx val="6"/>
              <c:layout>
                <c:manualLayout>
                  <c:x val="1.9512195121951161E-2"/>
                  <c:y val="-5.8479514211749904E-3"/>
                </c:manualLayout>
              </c:layout>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0E5-4216-A226-953D86D406E5}"/>
                </c:ext>
              </c:extLst>
            </c:dLbl>
            <c:dLbl>
              <c:idx val="7"/>
              <c:layout>
                <c:manualLayout>
                  <c:x val="1.6260162601625969E-2"/>
                  <c:y val="-1.9493171403917417E-3"/>
                </c:manualLayout>
              </c:layout>
              <c:tx>
                <c:rich>
                  <a:bodyPr/>
                  <a:lstStyle/>
                  <a:p>
                    <a:r>
                      <a:rPr lang="en-US"/>
                      <a:t>108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0E5-4216-A226-953D86D406E5}"/>
                </c:ext>
              </c:extLst>
            </c:dLbl>
            <c:dLbl>
              <c:idx val="8"/>
              <c:layout>
                <c:manualLayout>
                  <c:x val="1.4634146341463415E-2"/>
                  <c:y val="-3.5737068069520947E-17"/>
                </c:manualLayout>
              </c:layout>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0E5-4216-A226-953D86D406E5}"/>
                </c:ext>
              </c:extLst>
            </c:dLbl>
            <c:dLbl>
              <c:idx val="9"/>
              <c:layout>
                <c:manualLayout>
                  <c:x val="1.6260162601625969E-2"/>
                  <c:y val="0"/>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0E5-4216-A226-953D86D406E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TIPOLGIAS!$A$5:$A$15</c:f>
              <c:strCache>
                <c:ptCount val="10"/>
                <c:pt idx="0">
                  <c:v>CONSULTA</c:v>
                </c:pt>
                <c:pt idx="1">
                  <c:v>DENUNCIA POR ACTOS DE CORRUPCIÓN</c:v>
                </c:pt>
                <c:pt idx="2">
                  <c:v>DERECHO DE PETICIÓN DE INTERÉS GENERAL</c:v>
                </c:pt>
                <c:pt idx="3">
                  <c:v>DERECHO DE PETICIÓN DE INTERÉS PARTICULAR</c:v>
                </c:pt>
                <c:pt idx="4">
                  <c:v>FELICITACIÓN</c:v>
                </c:pt>
                <c:pt idx="5">
                  <c:v>QUEJA</c:v>
                </c:pt>
                <c:pt idx="6">
                  <c:v>RECLAMO</c:v>
                </c:pt>
                <c:pt idx="7">
                  <c:v>SOLICITUD DE COPIA</c:v>
                </c:pt>
                <c:pt idx="8">
                  <c:v>SOLICITUD DE INFORMACIÓN</c:v>
                </c:pt>
                <c:pt idx="9">
                  <c:v>SUGERENCIA</c:v>
                </c:pt>
              </c:strCache>
            </c:strRef>
          </c:cat>
          <c:val>
            <c:numRef>
              <c:f>TIPOLGIAS!$B$5:$B$15</c:f>
              <c:numCache>
                <c:formatCode>General</c:formatCode>
                <c:ptCount val="10"/>
                <c:pt idx="0">
                  <c:v>18</c:v>
                </c:pt>
                <c:pt idx="1">
                  <c:v>5</c:v>
                </c:pt>
                <c:pt idx="2">
                  <c:v>339</c:v>
                </c:pt>
                <c:pt idx="3">
                  <c:v>4015</c:v>
                </c:pt>
                <c:pt idx="4">
                  <c:v>15</c:v>
                </c:pt>
                <c:pt idx="5">
                  <c:v>45</c:v>
                </c:pt>
                <c:pt idx="6">
                  <c:v>35</c:v>
                </c:pt>
                <c:pt idx="7">
                  <c:v>150</c:v>
                </c:pt>
                <c:pt idx="8">
                  <c:v>455</c:v>
                </c:pt>
                <c:pt idx="9">
                  <c:v>7</c:v>
                </c:pt>
              </c:numCache>
            </c:numRef>
          </c:val>
          <c:extLst>
            <c:ext xmlns:c16="http://schemas.microsoft.com/office/drawing/2014/chart" uri="{C3380CC4-5D6E-409C-BE32-E72D297353CC}">
              <c16:uniqueId val="{00000013-80E5-4216-A226-953D86D406E5}"/>
            </c:ext>
          </c:extLst>
        </c:ser>
        <c:dLbls>
          <c:showLegendKey val="0"/>
          <c:showVal val="1"/>
          <c:showCatName val="0"/>
          <c:showSerName val="0"/>
          <c:showPercent val="0"/>
          <c:showBubbleSize val="0"/>
        </c:dLbls>
        <c:gapWidth val="50"/>
        <c:gapDepth val="300"/>
        <c:shape val="box"/>
        <c:axId val="45198336"/>
        <c:axId val="45212416"/>
        <c:axId val="0"/>
      </c:bar3DChart>
      <c:catAx>
        <c:axId val="45198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45212416"/>
        <c:crosses val="autoZero"/>
        <c:auto val="1"/>
        <c:lblAlgn val="ctr"/>
        <c:lblOffset val="100"/>
        <c:noMultiLvlLbl val="0"/>
      </c:catAx>
      <c:valAx>
        <c:axId val="4521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451983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Gestión del Plan Anual de Adquisiciones</a:t>
            </a:r>
            <a:endParaRPr lang="es-ES" sz="1200" b="1" i="0">
              <a:solidFill>
                <a:schemeClr val="tx2">
                  <a:lumMod val="40000"/>
                  <a:lumOff val="60000"/>
                </a:schemeClr>
              </a:solidFill>
              <a:effectLst/>
              <a:latin typeface="Arial Narrow" panose="020B0606020202030204" pitchFamily="34" charset="0"/>
            </a:endParaRPr>
          </a:p>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Subdirección Administrativa</a:t>
            </a:r>
            <a:endParaRPr lang="es-ES" sz="1200" b="1" i="0">
              <a:solidFill>
                <a:schemeClr val="tx2">
                  <a:lumMod val="40000"/>
                  <a:lumOff val="60000"/>
                </a:schemeClr>
              </a:solidFill>
              <a:effectLst/>
              <a:latin typeface="Arial Narrow" panose="020B0606020202030204" pitchFamily="34" charset="0"/>
            </a:endParaRPr>
          </a:p>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Inversión Proyecto 404</a:t>
            </a:r>
            <a:endParaRPr lang="es-ES" sz="1200" b="1" i="0">
              <a:solidFill>
                <a:schemeClr val="tx2">
                  <a:lumMod val="40000"/>
                  <a:lumOff val="60000"/>
                </a:schemeClr>
              </a:solidFill>
              <a:latin typeface="Arial Narrow" panose="020B060602020203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Inversión!$B$39</c:f>
              <c:strCache>
                <c:ptCount val="1"/>
                <c:pt idx="0">
                  <c:v>Compromiso Presupuestal</c:v>
                </c:pt>
              </c:strCache>
            </c:strRef>
          </c:tx>
          <c:spPr>
            <a:solidFill>
              <a:schemeClr val="accent1"/>
            </a:solidFill>
            <a:ln>
              <a:noFill/>
            </a:ln>
            <a:effectLst/>
            <a:sp3d/>
          </c:spPr>
          <c:invertIfNegative val="0"/>
          <c:dLbls>
            <c:dLbl>
              <c:idx val="0"/>
              <c:layout>
                <c:manualLayout>
                  <c:x val="0.1968151401936715"/>
                  <c:y val="0.2931714398269447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094023557789741"/>
                      <c:h val="0.22329443759289122"/>
                    </c:manualLayout>
                  </c15:layout>
                </c:ext>
                <c:ext xmlns:c16="http://schemas.microsoft.com/office/drawing/2014/chart" uri="{C3380CC4-5D6E-409C-BE32-E72D297353CC}">
                  <c16:uniqueId val="{00000000-5770-41EC-B919-70882435A4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Inversión!$C$39</c:f>
              <c:numCache>
                <c:formatCode>_-[$$-240A]\ * #,##0_-;\-[$$-240A]\ * #,##0_-;_-[$$-240A]\ * "-"_-;_-@_-</c:formatCode>
                <c:ptCount val="1"/>
                <c:pt idx="0">
                  <c:v>4566515925</c:v>
                </c:pt>
              </c:numCache>
            </c:numRef>
          </c:val>
          <c:extLst>
            <c:ext xmlns:c16="http://schemas.microsoft.com/office/drawing/2014/chart" uri="{C3380CC4-5D6E-409C-BE32-E72D297353CC}">
              <c16:uniqueId val="{00000001-5770-41EC-B919-70882435A4FA}"/>
            </c:ext>
          </c:extLst>
        </c:ser>
        <c:ser>
          <c:idx val="1"/>
          <c:order val="1"/>
          <c:tx>
            <c:strRef>
              <c:f>Inversión!$B$40</c:f>
              <c:strCache>
                <c:ptCount val="1"/>
                <c:pt idx="0">
                  <c:v>Valor Programado</c:v>
                </c:pt>
              </c:strCache>
            </c:strRef>
          </c:tx>
          <c:spPr>
            <a:solidFill>
              <a:schemeClr val="accent3"/>
            </a:solidFill>
            <a:ln>
              <a:noFill/>
            </a:ln>
            <a:effectLst/>
            <a:sp3d/>
          </c:spPr>
          <c:invertIfNegative val="0"/>
          <c:dLbls>
            <c:dLbl>
              <c:idx val="0"/>
              <c:layout>
                <c:manualLayout>
                  <c:x val="0.19725471490696886"/>
                  <c:y val="4.350262564329717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378917378917379"/>
                      <c:h val="0.11486060606060607"/>
                    </c:manualLayout>
                  </c15:layout>
                </c:ext>
                <c:ext xmlns:c16="http://schemas.microsoft.com/office/drawing/2014/chart" uri="{C3380CC4-5D6E-409C-BE32-E72D297353CC}">
                  <c16:uniqueId val="{00000002-5770-41EC-B919-70882435A4F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Inversión!$C$40</c:f>
              <c:numCache>
                <c:formatCode>_-[$$-240A]\ * #,##0_-;\-[$$-240A]\ * #,##0_-;_-[$$-240A]\ * "-"_-;_-@_-</c:formatCode>
                <c:ptCount val="1"/>
                <c:pt idx="0">
                  <c:v>5317348843</c:v>
                </c:pt>
              </c:numCache>
            </c:numRef>
          </c:val>
          <c:extLst>
            <c:ext xmlns:c16="http://schemas.microsoft.com/office/drawing/2014/chart" uri="{C3380CC4-5D6E-409C-BE32-E72D297353CC}">
              <c16:uniqueId val="{00000003-5770-41EC-B919-70882435A4FA}"/>
            </c:ext>
          </c:extLst>
        </c:ser>
        <c:dLbls>
          <c:showLegendKey val="0"/>
          <c:showVal val="0"/>
          <c:showCatName val="0"/>
          <c:showSerName val="0"/>
          <c:showPercent val="0"/>
          <c:showBubbleSize val="0"/>
        </c:dLbls>
        <c:gapWidth val="150"/>
        <c:shape val="box"/>
        <c:axId val="79189504"/>
        <c:axId val="79191040"/>
        <c:axId val="143263488"/>
      </c:bar3DChart>
      <c:catAx>
        <c:axId val="7918950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9191040"/>
        <c:crosses val="autoZero"/>
        <c:auto val="1"/>
        <c:lblAlgn val="ctr"/>
        <c:lblOffset val="100"/>
        <c:noMultiLvlLbl val="0"/>
      </c:catAx>
      <c:valAx>
        <c:axId val="79191040"/>
        <c:scaling>
          <c:orientation val="minMax"/>
          <c:max val="4600000000"/>
          <c:min val="2200000000"/>
        </c:scaling>
        <c:delete val="0"/>
        <c:axPos val="l"/>
        <c:majorGridlines>
          <c:spPr>
            <a:ln w="12700" cap="flat" cmpd="sng" algn="ctr">
              <a:solidFill>
                <a:schemeClr val="tx1">
                  <a:lumMod val="15000"/>
                  <a:lumOff val="85000"/>
                </a:schemeClr>
              </a:solidFill>
              <a:round/>
            </a:ln>
            <a:effectLst/>
          </c:spPr>
        </c:majorGridlines>
        <c:numFmt formatCode="_-[$$-240A]\ * #,##0_-;\-[$$-240A]\ * #,##0_-;_-[$$-240A]\ *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79189504"/>
        <c:crosses val="autoZero"/>
        <c:crossBetween val="between"/>
        <c:majorUnit val="400000000"/>
        <c:minorUnit val="200000000"/>
      </c:valAx>
      <c:serAx>
        <c:axId val="143263488"/>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919104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Gestión del Plan Anual de Adquisiciones</a:t>
            </a:r>
          </a:p>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Subdirección Administrativa</a:t>
            </a:r>
          </a:p>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Funcionamiento</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funcionamiento!$B$53</c:f>
              <c:strCache>
                <c:ptCount val="1"/>
                <c:pt idx="0">
                  <c:v>Valor Programado</c:v>
                </c:pt>
              </c:strCache>
            </c:strRef>
          </c:tx>
          <c:spPr>
            <a:solidFill>
              <a:schemeClr val="accent1"/>
            </a:solidFill>
            <a:ln>
              <a:noFill/>
            </a:ln>
            <a:effectLst/>
            <a:sp3d/>
          </c:spPr>
          <c:invertIfNegative val="0"/>
          <c:dLbls>
            <c:dLbl>
              <c:idx val="0"/>
              <c:layout>
                <c:manualLayout>
                  <c:x val="0.18443352828981929"/>
                  <c:y val="0.2129811264207234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348611111111111"/>
                      <c:h val="0.12819444444444442"/>
                    </c:manualLayout>
                  </c15:layout>
                </c:ext>
                <c:ext xmlns:c16="http://schemas.microsoft.com/office/drawing/2014/chart" uri="{C3380CC4-5D6E-409C-BE32-E72D297353CC}">
                  <c16:uniqueId val="{00000000-A864-416F-BC3C-3B4714E3D8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funcionamiento!$B$52</c:f>
              <c:numCache>
                <c:formatCode>_-[$$-240A]\ * #,##0_-;\-[$$-240A]\ * #,##0_-;_-[$$-240A]\ * "-"_-;_-@_-</c:formatCode>
                <c:ptCount val="1"/>
                <c:pt idx="0">
                  <c:v>1502762192.1818182</c:v>
                </c:pt>
              </c:numCache>
            </c:numRef>
          </c:val>
          <c:extLst>
            <c:ext xmlns:c16="http://schemas.microsoft.com/office/drawing/2014/chart" uri="{C3380CC4-5D6E-409C-BE32-E72D297353CC}">
              <c16:uniqueId val="{00000001-A864-416F-BC3C-3B4714E3D8BC}"/>
            </c:ext>
          </c:extLst>
        </c:ser>
        <c:ser>
          <c:idx val="1"/>
          <c:order val="1"/>
          <c:tx>
            <c:strRef>
              <c:f>funcionamiento!$C$53</c:f>
              <c:strCache>
                <c:ptCount val="1"/>
                <c:pt idx="0">
                  <c:v>Compromiso Presupuestal</c:v>
                </c:pt>
              </c:strCache>
            </c:strRef>
          </c:tx>
          <c:spPr>
            <a:solidFill>
              <a:schemeClr val="accent3"/>
            </a:solidFill>
            <a:ln>
              <a:noFill/>
            </a:ln>
            <a:effectLst/>
            <a:sp3d/>
          </c:spPr>
          <c:invertIfNegative val="0"/>
          <c:dLbls>
            <c:dLbl>
              <c:idx val="0"/>
              <c:layout>
                <c:manualLayout>
                  <c:x val="0.22346493530413961"/>
                  <c:y val="-1.242123914321435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374999999999998"/>
                      <c:h val="0.12356481481481481"/>
                    </c:manualLayout>
                  </c15:layout>
                </c:ext>
                <c:ext xmlns:c16="http://schemas.microsoft.com/office/drawing/2014/chart" uri="{C3380CC4-5D6E-409C-BE32-E72D297353CC}">
                  <c16:uniqueId val="{00000002-A864-416F-BC3C-3B4714E3D8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funcionamiento!$C$52</c:f>
              <c:numCache>
                <c:formatCode>_-[$$-240A]\ * #,##0_-;\-[$$-240A]\ * #,##0_-;_-[$$-240A]\ * "-"_-;_-@_-</c:formatCode>
                <c:ptCount val="1"/>
                <c:pt idx="0">
                  <c:v>1237080362</c:v>
                </c:pt>
              </c:numCache>
            </c:numRef>
          </c:val>
          <c:extLst>
            <c:ext xmlns:c16="http://schemas.microsoft.com/office/drawing/2014/chart" uri="{C3380CC4-5D6E-409C-BE32-E72D297353CC}">
              <c16:uniqueId val="{00000003-A864-416F-BC3C-3B4714E3D8BC}"/>
            </c:ext>
          </c:extLst>
        </c:ser>
        <c:dLbls>
          <c:showLegendKey val="0"/>
          <c:showVal val="0"/>
          <c:showCatName val="0"/>
          <c:showSerName val="0"/>
          <c:showPercent val="0"/>
          <c:showBubbleSize val="0"/>
        </c:dLbls>
        <c:gapWidth val="150"/>
        <c:shape val="box"/>
        <c:axId val="168060032"/>
        <c:axId val="168337408"/>
        <c:axId val="79227520"/>
      </c:bar3DChart>
      <c:catAx>
        <c:axId val="168060032"/>
        <c:scaling>
          <c:orientation val="minMax"/>
        </c:scaling>
        <c:delete val="1"/>
        <c:axPos val="b"/>
        <c:numFmt formatCode="General" sourceLinked="1"/>
        <c:majorTickMark val="none"/>
        <c:minorTickMark val="none"/>
        <c:tickLblPos val="nextTo"/>
        <c:crossAx val="168337408"/>
        <c:crosses val="autoZero"/>
        <c:auto val="1"/>
        <c:lblAlgn val="ctr"/>
        <c:lblOffset val="100"/>
        <c:noMultiLvlLbl val="0"/>
      </c:catAx>
      <c:valAx>
        <c:axId val="1683374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240A]\ * #,##0_-;\-[$$-240A]\ * #,##0_-;_-[$$-240A]\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68060032"/>
        <c:crosses val="autoZero"/>
        <c:crossBetween val="between"/>
      </c:valAx>
      <c:serAx>
        <c:axId val="7922752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6833740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CARACTERIZACION!$E$41</c:f>
              <c:strCache>
                <c:ptCount val="1"/>
                <c:pt idx="0">
                  <c:v># PERSONAS</c:v>
                </c:pt>
              </c:strCache>
            </c:strRef>
          </c:tx>
          <c:spPr>
            <a:solidFill>
              <a:schemeClr val="accent1">
                <a:lumMod val="40000"/>
                <a:lumOff val="60000"/>
              </a:schemeClr>
            </a:solidFill>
            <a:ln w="9522" cap="flat" cmpd="sng" algn="ctr">
              <a:noFill/>
              <a:round/>
            </a:ln>
            <a:effectLst>
              <a:outerShdw blurRad="40000" dist="20000" dir="5400000" rotWithShape="0">
                <a:srgbClr val="000000">
                  <a:alpha val="38000"/>
                </a:srgbClr>
              </a:outerShdw>
            </a:effectLst>
            <a:sp3d/>
          </c:spPr>
          <c:invertIfNegative val="0"/>
          <c:dLbls>
            <c:spPr>
              <a:noFill/>
              <a:ln w="25391">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CARACTERIZACION!$D$42:$D$54</c:f>
              <c:strCache>
                <c:ptCount val="13"/>
                <c:pt idx="0">
                  <c:v>1. Padre / Madre  Cabeza de familia</c:v>
                </c:pt>
                <c:pt idx="1">
                  <c:v>2. Madre gestante</c:v>
                </c:pt>
                <c:pt idx="2">
                  <c:v>3. Madre lactante</c:v>
                </c:pt>
                <c:pt idx="3">
                  <c:v>4. Vinculados a la prostitución</c:v>
                </c:pt>
                <c:pt idx="4">
                  <c:v>5. Consumidor de  SPA (Sustancias psicoactivas)</c:v>
                </c:pt>
                <c:pt idx="5">
                  <c:v>6. Familias en emergencia social y catastrófica </c:v>
                </c:pt>
                <c:pt idx="6">
                  <c:v>7. Víctima de conflicto armado</c:v>
                </c:pt>
                <c:pt idx="7">
                  <c:v>8. Desplazado por la violencia</c:v>
                </c:pt>
                <c:pt idx="8">
                  <c:v>9. Campesino</c:v>
                </c:pt>
                <c:pt idx="9">
                  <c:v>10. Habitante de la Calle</c:v>
                </c:pt>
                <c:pt idx="10">
                  <c:v>11. Niños, niñas, adolescentes en vinculación temprana al trabajo.</c:v>
                </c:pt>
                <c:pt idx="11">
                  <c:v>12. Desmovilizado de grupos armados</c:v>
                </c:pt>
                <c:pt idx="12">
                  <c:v>13. Ninguno de los anteriores</c:v>
                </c:pt>
              </c:strCache>
            </c:strRef>
          </c:cat>
          <c:val>
            <c:numRef>
              <c:f>CARACTERIZACION!$E$42:$E$54</c:f>
              <c:numCache>
                <c:formatCode>0</c:formatCode>
                <c:ptCount val="13"/>
                <c:pt idx="0">
                  <c:v>487</c:v>
                </c:pt>
                <c:pt idx="1">
                  <c:v>17</c:v>
                </c:pt>
                <c:pt idx="2">
                  <c:v>17</c:v>
                </c:pt>
                <c:pt idx="3">
                  <c:v>0</c:v>
                </c:pt>
                <c:pt idx="4">
                  <c:v>16</c:v>
                </c:pt>
                <c:pt idx="5">
                  <c:v>34</c:v>
                </c:pt>
                <c:pt idx="6">
                  <c:v>398</c:v>
                </c:pt>
                <c:pt idx="7">
                  <c:v>45</c:v>
                </c:pt>
                <c:pt idx="8">
                  <c:v>101</c:v>
                </c:pt>
                <c:pt idx="9">
                  <c:v>0</c:v>
                </c:pt>
                <c:pt idx="10">
                  <c:v>2</c:v>
                </c:pt>
                <c:pt idx="11">
                  <c:v>0</c:v>
                </c:pt>
                <c:pt idx="12">
                  <c:v>4397</c:v>
                </c:pt>
              </c:numCache>
            </c:numRef>
          </c:val>
          <c:extLst>
            <c:ext xmlns:c16="http://schemas.microsoft.com/office/drawing/2014/chart" uri="{C3380CC4-5D6E-409C-BE32-E72D297353CC}">
              <c16:uniqueId val="{00000000-633C-4AF9-9AB0-3BB4F08B754F}"/>
            </c:ext>
          </c:extLst>
        </c:ser>
        <c:dLbls>
          <c:showLegendKey val="0"/>
          <c:showVal val="0"/>
          <c:showCatName val="0"/>
          <c:showSerName val="0"/>
          <c:showPercent val="0"/>
          <c:showBubbleSize val="0"/>
        </c:dLbls>
        <c:gapWidth val="150"/>
        <c:shape val="box"/>
        <c:axId val="162377576"/>
        <c:axId val="1"/>
        <c:axId val="0"/>
      </c:bar3DChart>
      <c:catAx>
        <c:axId val="162377576"/>
        <c:scaling>
          <c:orientation val="minMax"/>
        </c:scaling>
        <c:delete val="0"/>
        <c:axPos val="b"/>
        <c:numFmt formatCode="General" sourceLinked="1"/>
        <c:majorTickMark val="none"/>
        <c:minorTickMark val="none"/>
        <c:tickLblPos val="nextTo"/>
        <c:spPr>
          <a:ln w="6348">
            <a:noFill/>
          </a:ln>
        </c:spPr>
        <c:txPr>
          <a:bodyPr rot="-2700000" vert="horz"/>
          <a:lstStyle/>
          <a:p>
            <a:pPr>
              <a:defRPr sz="800"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2377576"/>
        <c:crosses val="autoZero"/>
        <c:crossBetween val="between"/>
      </c:valAx>
      <c:spPr>
        <a:noFill/>
        <a:ln w="25391">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CARACTERIZACION!$E$60</c:f>
              <c:strCache>
                <c:ptCount val="1"/>
                <c:pt idx="0">
                  <c:v># PERSONAS</c:v>
                </c:pt>
              </c:strCache>
            </c:strRef>
          </c:tx>
          <c:spPr>
            <a:solidFill>
              <a:schemeClr val="accent1">
                <a:lumMod val="40000"/>
                <a:lumOff val="60000"/>
                <a:alpha val="94000"/>
              </a:schemeClr>
            </a:solidFill>
            <a:ln w="9521" cap="flat" cmpd="sng" algn="ctr">
              <a:noFill/>
              <a:round/>
            </a:ln>
            <a:effectLst>
              <a:outerShdw blurRad="40000" dist="20000" dir="5400000" rotWithShape="0">
                <a:srgbClr val="000000">
                  <a:alpha val="38000"/>
                </a:srgbClr>
              </a:outerShdw>
            </a:effectLst>
            <a:sp3d/>
          </c:spPr>
          <c:invertIfNegative val="0"/>
          <c:dLbls>
            <c:dLbl>
              <c:idx val="0"/>
              <c:layout>
                <c:manualLayout>
                  <c:x val="1.6636957813428357E-2"/>
                  <c:y val="-1.7167381974248927E-2"/>
                </c:manualLayout>
              </c:layout>
              <c:spPr>
                <a:noFill/>
                <a:ln w="25389">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C9-436D-9B2B-78943334ABC3}"/>
                </c:ext>
              </c:extLst>
            </c:dLbl>
            <c:dLbl>
              <c:idx val="1"/>
              <c:layout>
                <c:manualLayout>
                  <c:x val="2.6143790849673117E-2"/>
                  <c:y val="-5.1502145922746836E-2"/>
                </c:manualLayout>
              </c:layout>
              <c:spPr>
                <a:noFill/>
                <a:ln w="25389">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C9-436D-9B2B-78943334ABC3}"/>
                </c:ext>
              </c:extLst>
            </c:dLbl>
            <c:spPr>
              <a:noFill/>
              <a:ln w="25389">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CARACTERIZACION!$D$61:$D$62</c:f>
              <c:strCache>
                <c:ptCount val="2"/>
                <c:pt idx="0">
                  <c:v>1. SI</c:v>
                </c:pt>
                <c:pt idx="1">
                  <c:v>2. NO</c:v>
                </c:pt>
              </c:strCache>
            </c:strRef>
          </c:cat>
          <c:val>
            <c:numRef>
              <c:f>CARACTERIZACION!$E$61:$E$62</c:f>
              <c:numCache>
                <c:formatCode>0</c:formatCode>
                <c:ptCount val="2"/>
                <c:pt idx="0">
                  <c:v>296</c:v>
                </c:pt>
                <c:pt idx="1">
                  <c:v>5165</c:v>
                </c:pt>
              </c:numCache>
            </c:numRef>
          </c:val>
          <c:extLst>
            <c:ext xmlns:c16="http://schemas.microsoft.com/office/drawing/2014/chart" uri="{C3380CC4-5D6E-409C-BE32-E72D297353CC}">
              <c16:uniqueId val="{00000002-CAC9-436D-9B2B-78943334ABC3}"/>
            </c:ext>
          </c:extLst>
        </c:ser>
        <c:dLbls>
          <c:showLegendKey val="0"/>
          <c:showVal val="0"/>
          <c:showCatName val="0"/>
          <c:showSerName val="0"/>
          <c:showPercent val="0"/>
          <c:showBubbleSize val="0"/>
        </c:dLbls>
        <c:gapWidth val="150"/>
        <c:shape val="box"/>
        <c:axId val="216605056"/>
        <c:axId val="1"/>
        <c:axId val="0"/>
      </c:bar3DChart>
      <c:catAx>
        <c:axId val="216605056"/>
        <c:scaling>
          <c:orientation val="minMax"/>
        </c:scaling>
        <c:delete val="0"/>
        <c:axPos val="b"/>
        <c:numFmt formatCode="General" sourceLinked="1"/>
        <c:majorTickMark val="none"/>
        <c:minorTickMark val="none"/>
        <c:tickLblPos val="nextTo"/>
        <c:spPr>
          <a:ln w="6347">
            <a:noFill/>
          </a:ln>
        </c:spPr>
        <c:txPr>
          <a:bodyPr rot="0" vert="horz"/>
          <a:lstStyle/>
          <a:p>
            <a:pPr>
              <a:defRPr sz="800"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216605056"/>
        <c:crosses val="autoZero"/>
        <c:crossBetween val="between"/>
      </c:valAx>
      <c:spPr>
        <a:noFill/>
        <a:ln w="25389">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643235060721809E-4"/>
          <c:y val="4.2245325008605325E-2"/>
          <c:w val="0.98935514614071296"/>
          <c:h val="0.91031377908343925"/>
        </c:manualLayout>
      </c:layout>
      <c:bar3DChart>
        <c:barDir val="col"/>
        <c:grouping val="clustered"/>
        <c:varyColors val="0"/>
        <c:ser>
          <c:idx val="1"/>
          <c:order val="0"/>
          <c:tx>
            <c:strRef>
              <c:f>'PERCEPCION OBRA'!$E$3</c:f>
              <c:strCache>
                <c:ptCount val="1"/>
                <c:pt idx="0">
                  <c:v># PERSONAS</c:v>
                </c:pt>
              </c:strCache>
            </c:strRef>
          </c:tx>
          <c:spPr>
            <a:solidFill>
              <a:schemeClr val="accent1">
                <a:lumMod val="40000"/>
                <a:lumOff val="60000"/>
              </a:schemeClr>
            </a:solidFill>
            <a:ln w="9508" cap="flat" cmpd="sng" algn="ctr">
              <a:noFill/>
              <a:round/>
            </a:ln>
            <a:effectLst>
              <a:outerShdw blurRad="40000" dist="20000" dir="5400000" rotWithShape="0">
                <a:srgbClr val="000000">
                  <a:alpha val="38000"/>
                </a:srgbClr>
              </a:outerShdw>
            </a:effectLst>
            <a:sp3d/>
          </c:spPr>
          <c:invertIfNegative val="0"/>
          <c:dLbls>
            <c:dLbl>
              <c:idx val="0"/>
              <c:layout>
                <c:manualLayout>
                  <c:x val="3.1041174774034914E-2"/>
                  <c:y val="-5.4102779945675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C6-4759-96C2-47F905A8EA56}"/>
                </c:ext>
              </c:extLst>
            </c:dLbl>
            <c:dLbl>
              <c:idx val="1"/>
              <c:layout>
                <c:manualLayout>
                  <c:x val="2.5867645645029001E-2"/>
                  <c:y val="-5.4102779945675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C6-4759-96C2-47F905A8EA56}"/>
                </c:ext>
              </c:extLst>
            </c:dLbl>
            <c:spPr>
              <a:noFill/>
              <a:ln>
                <a:noFill/>
              </a:ln>
              <a:effectLst/>
            </c:spPr>
            <c:txPr>
              <a:bodyPr rot="0" spcFirstLastPara="1" vertOverflow="ellipsis" vert="horz" wrap="square" anchor="ctr" anchorCtr="1"/>
              <a:lstStyle/>
              <a:p>
                <a:pPr>
                  <a:defRPr sz="898"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OBRA'!$D$4:$D$5</c:f>
              <c:strCache>
                <c:ptCount val="2"/>
                <c:pt idx="0">
                  <c:v>SI</c:v>
                </c:pt>
                <c:pt idx="1">
                  <c:v>NO</c:v>
                </c:pt>
              </c:strCache>
            </c:strRef>
          </c:cat>
          <c:val>
            <c:numRef>
              <c:f>'PERCEPCION OBRA'!$E$4:$E$5</c:f>
              <c:numCache>
                <c:formatCode>0</c:formatCode>
                <c:ptCount val="2"/>
                <c:pt idx="0">
                  <c:v>580</c:v>
                </c:pt>
                <c:pt idx="1">
                  <c:v>692</c:v>
                </c:pt>
              </c:numCache>
            </c:numRef>
          </c:val>
          <c:extLst>
            <c:ext xmlns:c16="http://schemas.microsoft.com/office/drawing/2014/chart" uri="{C3380CC4-5D6E-409C-BE32-E72D297353CC}">
              <c16:uniqueId val="{00000002-4BC6-4759-96C2-47F905A8EA56}"/>
            </c:ext>
          </c:extLst>
        </c:ser>
        <c:dLbls>
          <c:showLegendKey val="0"/>
          <c:showVal val="0"/>
          <c:showCatName val="0"/>
          <c:showSerName val="0"/>
          <c:showPercent val="0"/>
          <c:showBubbleSize val="0"/>
        </c:dLbls>
        <c:gapWidth val="150"/>
        <c:shape val="box"/>
        <c:axId val="216612272"/>
        <c:axId val="1"/>
        <c:axId val="0"/>
      </c:bar3DChart>
      <c:catAx>
        <c:axId val="216612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216612272"/>
        <c:crosses val="autoZero"/>
        <c:crossBetween val="between"/>
      </c:valAx>
      <c:spPr>
        <a:noFill/>
        <a:ln w="25354">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399357847259409E-3"/>
          <c:y val="6.3603019870667146E-2"/>
          <c:w val="0.98935514614071296"/>
          <c:h val="0.88895673241329554"/>
        </c:manualLayout>
      </c:layout>
      <c:bar3DChart>
        <c:barDir val="col"/>
        <c:grouping val="clustered"/>
        <c:varyColors val="0"/>
        <c:ser>
          <c:idx val="1"/>
          <c:order val="0"/>
          <c:tx>
            <c:strRef>
              <c:f>'PERCEPCION OBRA'!$E$8</c:f>
              <c:strCache>
                <c:ptCount val="1"/>
                <c:pt idx="0">
                  <c:v># PERSONAS</c:v>
                </c:pt>
              </c:strCache>
            </c:strRef>
          </c:tx>
          <c:spPr>
            <a:solidFill>
              <a:schemeClr val="accent1">
                <a:lumMod val="40000"/>
                <a:lumOff val="60000"/>
              </a:schemeClr>
            </a:solidFill>
            <a:ln w="9518" cap="flat" cmpd="sng" algn="ctr">
              <a:noFill/>
              <a:round/>
            </a:ln>
            <a:effectLst>
              <a:outerShdw blurRad="40000" dist="20000" dir="5400000" rotWithShape="0">
                <a:srgbClr val="000000">
                  <a:alpha val="38000"/>
                </a:srgbClr>
              </a:outerShdw>
            </a:effectLst>
            <a:sp3d/>
          </c:spPr>
          <c:invertIfNegative val="0"/>
          <c:dLbls>
            <c:dLbl>
              <c:idx val="0"/>
              <c:layout>
                <c:manualLayout>
                  <c:x val="2.5862067210014442E-2"/>
                  <c:y val="-8.6642623907053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7E-4C5D-ACBC-965A9DF03BA7}"/>
                </c:ext>
              </c:extLst>
            </c:dLbl>
            <c:dLbl>
              <c:idx val="1"/>
              <c:layout>
                <c:manualLayout>
                  <c:x val="2.5862067210014442E-2"/>
                  <c:y val="-2.1660655976763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7E-4C5D-ACBC-965A9DF03BA7}"/>
                </c:ext>
              </c:extLst>
            </c:dLbl>
            <c:spPr>
              <a:noFill/>
              <a:ln>
                <a:noFill/>
              </a:ln>
              <a:effectLst/>
            </c:spPr>
            <c:txPr>
              <a:bodyPr rot="0" spcFirstLastPara="1" vertOverflow="ellipsis" vert="horz" wrap="square" anchor="ctr" anchorCtr="1"/>
              <a:lstStyle/>
              <a:p>
                <a:pPr>
                  <a:defRPr sz="8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OBRA'!$D$9:$D$10</c:f>
              <c:strCache>
                <c:ptCount val="2"/>
                <c:pt idx="0">
                  <c:v>SI</c:v>
                </c:pt>
                <c:pt idx="1">
                  <c:v>NO</c:v>
                </c:pt>
              </c:strCache>
            </c:strRef>
          </c:cat>
          <c:val>
            <c:numRef>
              <c:f>'PERCEPCION OBRA'!$E$9:$E$10</c:f>
              <c:numCache>
                <c:formatCode>0</c:formatCode>
                <c:ptCount val="2"/>
                <c:pt idx="0">
                  <c:v>1239</c:v>
                </c:pt>
                <c:pt idx="1">
                  <c:v>33</c:v>
                </c:pt>
              </c:numCache>
            </c:numRef>
          </c:val>
          <c:extLst>
            <c:ext xmlns:c16="http://schemas.microsoft.com/office/drawing/2014/chart" uri="{C3380CC4-5D6E-409C-BE32-E72D297353CC}">
              <c16:uniqueId val="{00000002-B77E-4C5D-ACBC-965A9DF03BA7}"/>
            </c:ext>
          </c:extLst>
        </c:ser>
        <c:dLbls>
          <c:showLegendKey val="0"/>
          <c:showVal val="0"/>
          <c:showCatName val="0"/>
          <c:showSerName val="0"/>
          <c:showPercent val="0"/>
          <c:showBubbleSize val="0"/>
        </c:dLbls>
        <c:gapWidth val="150"/>
        <c:shape val="box"/>
        <c:axId val="161331488"/>
        <c:axId val="1"/>
        <c:axId val="0"/>
      </c:bar3DChart>
      <c:catAx>
        <c:axId val="161331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1331488"/>
        <c:crosses val="autoZero"/>
        <c:crossBetween val="between"/>
      </c:valAx>
      <c:spPr>
        <a:noFill/>
        <a:ln w="25381">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0426107619828279"/>
          <c:y val="0"/>
          <c:w val="0.99981857016476294"/>
          <c:h val="0.30267119453670188"/>
        </c:manualLayout>
      </c:layout>
      <c:bar3DChart>
        <c:barDir val="col"/>
        <c:grouping val="clustered"/>
        <c:varyColors val="0"/>
        <c:ser>
          <c:idx val="1"/>
          <c:order val="0"/>
          <c:tx>
            <c:strRef>
              <c:f>'PERCEPCION OBRA'!$E$14</c:f>
              <c:strCache>
                <c:ptCount val="1"/>
                <c:pt idx="0">
                  <c:v># PERSONAS</c:v>
                </c:pt>
              </c:strCache>
            </c:strRef>
          </c:tx>
          <c:spPr>
            <a:solidFill>
              <a:schemeClr val="accent1">
                <a:lumMod val="40000"/>
                <a:lumOff val="60000"/>
              </a:schemeClr>
            </a:solidFill>
            <a:ln w="9525" cap="flat" cmpd="sng" algn="ctr">
              <a:noFill/>
              <a:round/>
            </a:ln>
            <a:effectLst>
              <a:outerShdw blurRad="40000" dist="20000" dir="5400000" rotWithShape="0">
                <a:srgbClr val="000000">
                  <a:alpha val="38000"/>
                </a:srgbClr>
              </a:outerShdw>
            </a:effectLst>
            <a:sp3d/>
          </c:spPr>
          <c:invertIfNegative val="0"/>
          <c:dLbls>
            <c:spPr>
              <a:noFill/>
              <a:ln w="25400">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OBRA'!$D$15:$D$20</c:f>
              <c:strCache>
                <c:ptCount val="6"/>
                <c:pt idx="0">
                  <c:v>Es más fácil asear la casa  </c:v>
                </c:pt>
                <c:pt idx="1">
                  <c:v>Se realiza el aseo de la casa con más frecuencia</c:v>
                </c:pt>
                <c:pt idx="2">
                  <c:v>Se motivó a mantener su casa más limpia y aseada</c:v>
                </c:pt>
                <c:pt idx="3">
                  <c:v>Ha motivado a otros miembros del hogar a relizar el aseo de la casa o  algunas áreas</c:v>
                </c:pt>
                <c:pt idx="4">
                  <c:v>Todos los anteriores</c:v>
                </c:pt>
                <c:pt idx="5">
                  <c:v>Otro: ¿Cuál?</c:v>
                </c:pt>
              </c:strCache>
            </c:strRef>
          </c:cat>
          <c:val>
            <c:numRef>
              <c:f>'PERCEPCION OBRA'!$E$15:$E$20</c:f>
              <c:numCache>
                <c:formatCode>0</c:formatCode>
                <c:ptCount val="6"/>
                <c:pt idx="0">
                  <c:v>689</c:v>
                </c:pt>
                <c:pt idx="1">
                  <c:v>319</c:v>
                </c:pt>
                <c:pt idx="2">
                  <c:v>344</c:v>
                </c:pt>
                <c:pt idx="3">
                  <c:v>75</c:v>
                </c:pt>
                <c:pt idx="4">
                  <c:v>433</c:v>
                </c:pt>
                <c:pt idx="5">
                  <c:v>9</c:v>
                </c:pt>
              </c:numCache>
            </c:numRef>
          </c:val>
          <c:extLst>
            <c:ext xmlns:c16="http://schemas.microsoft.com/office/drawing/2014/chart" uri="{C3380CC4-5D6E-409C-BE32-E72D297353CC}">
              <c16:uniqueId val="{00000000-450B-419B-BAFE-D9449EA15C8B}"/>
            </c:ext>
          </c:extLst>
        </c:ser>
        <c:dLbls>
          <c:showLegendKey val="0"/>
          <c:showVal val="0"/>
          <c:showCatName val="0"/>
          <c:showSerName val="0"/>
          <c:showPercent val="0"/>
          <c:showBubbleSize val="0"/>
        </c:dLbls>
        <c:gapWidth val="150"/>
        <c:shape val="box"/>
        <c:axId val="163707280"/>
        <c:axId val="1"/>
        <c:axId val="0"/>
      </c:bar3DChart>
      <c:catAx>
        <c:axId val="163707280"/>
        <c:scaling>
          <c:orientation val="minMax"/>
        </c:scaling>
        <c:delete val="0"/>
        <c:axPos val="b"/>
        <c:numFmt formatCode="General" sourceLinked="1"/>
        <c:majorTickMark val="none"/>
        <c:minorTickMark val="none"/>
        <c:tickLblPos val="nextTo"/>
        <c:spPr>
          <a:ln w="6350">
            <a:noFill/>
          </a:ln>
        </c:spPr>
        <c:txPr>
          <a:bodyPr rot="0" vert="horz"/>
          <a:lstStyle/>
          <a:p>
            <a:pPr>
              <a:defRPr sz="700"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3707280"/>
        <c:crosses val="autoZero"/>
        <c:crossBetween val="between"/>
      </c:valAx>
      <c:spPr>
        <a:noFill/>
        <a:ln w="25400">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2.2403395747780337E-2"/>
          <c:w val="0.99981857016476294"/>
          <c:h val="0.89119541875447383"/>
        </c:manualLayout>
      </c:layout>
      <c:bar3DChart>
        <c:barDir val="col"/>
        <c:grouping val="clustered"/>
        <c:varyColors val="0"/>
        <c:ser>
          <c:idx val="1"/>
          <c:order val="0"/>
          <c:tx>
            <c:strRef>
              <c:f>'PERCEPCION OBRA'!$E$24</c:f>
              <c:strCache>
                <c:ptCount val="1"/>
                <c:pt idx="0">
                  <c:v># PERSONAS</c:v>
                </c:pt>
              </c:strCache>
            </c:strRef>
          </c:tx>
          <c:spPr>
            <a:solidFill>
              <a:schemeClr val="accent1">
                <a:lumMod val="40000"/>
                <a:lumOff val="60000"/>
              </a:schemeClr>
            </a:solidFill>
            <a:ln w="9524" cap="flat" cmpd="sng" algn="ctr">
              <a:noFill/>
              <a:round/>
            </a:ln>
            <a:effectLst>
              <a:outerShdw blurRad="40000" dist="20000" dir="5400000" rotWithShape="0">
                <a:srgbClr val="000000">
                  <a:alpha val="38000"/>
                </a:srgbClr>
              </a:outerShdw>
            </a:effectLst>
            <a:sp3d/>
          </c:spPr>
          <c:invertIfNegative val="0"/>
          <c:dLbls>
            <c:dLbl>
              <c:idx val="0"/>
              <c:layout>
                <c:manualLayout>
                  <c:x val="2.4803636252135407E-2"/>
                  <c:y val="-2.5518341307814992E-2"/>
                </c:manualLayout>
              </c:layout>
              <c:spPr>
                <a:noFill/>
                <a:ln w="25398">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50-4B19-8B4F-41263EB5263F}"/>
                </c:ext>
              </c:extLst>
            </c:dLbl>
            <c:dLbl>
              <c:idx val="1"/>
              <c:layout>
                <c:manualLayout>
                  <c:x val="2.976436350256249E-2"/>
                  <c:y val="-1.9138755980861243E-2"/>
                </c:manualLayout>
              </c:layout>
              <c:spPr>
                <a:noFill/>
                <a:ln w="25398">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50-4B19-8B4F-41263EB5263F}"/>
                </c:ext>
              </c:extLst>
            </c:dLbl>
            <c:spPr>
              <a:noFill/>
              <a:ln w="25398">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OBRA'!$D$25:$D$26</c:f>
              <c:strCache>
                <c:ptCount val="2"/>
                <c:pt idx="0">
                  <c:v>SI</c:v>
                </c:pt>
                <c:pt idx="1">
                  <c:v>NO</c:v>
                </c:pt>
              </c:strCache>
            </c:strRef>
          </c:cat>
          <c:val>
            <c:numRef>
              <c:f>'PERCEPCION OBRA'!$E$25:$E$26</c:f>
              <c:numCache>
                <c:formatCode>0</c:formatCode>
                <c:ptCount val="2"/>
                <c:pt idx="0">
                  <c:v>1249</c:v>
                </c:pt>
                <c:pt idx="1">
                  <c:v>15</c:v>
                </c:pt>
              </c:numCache>
            </c:numRef>
          </c:val>
          <c:extLst>
            <c:ext xmlns:c16="http://schemas.microsoft.com/office/drawing/2014/chart" uri="{C3380CC4-5D6E-409C-BE32-E72D297353CC}">
              <c16:uniqueId val="{00000002-1A50-4B19-8B4F-41263EB5263F}"/>
            </c:ext>
          </c:extLst>
        </c:ser>
        <c:dLbls>
          <c:showLegendKey val="0"/>
          <c:showVal val="0"/>
          <c:showCatName val="0"/>
          <c:showSerName val="0"/>
          <c:showPercent val="0"/>
          <c:showBubbleSize val="0"/>
        </c:dLbls>
        <c:gapWidth val="150"/>
        <c:shape val="box"/>
        <c:axId val="163710888"/>
        <c:axId val="1"/>
        <c:axId val="0"/>
      </c:bar3DChart>
      <c:catAx>
        <c:axId val="163710888"/>
        <c:scaling>
          <c:orientation val="minMax"/>
        </c:scaling>
        <c:delete val="0"/>
        <c:axPos val="b"/>
        <c:numFmt formatCode="General" sourceLinked="1"/>
        <c:majorTickMark val="none"/>
        <c:minorTickMark val="none"/>
        <c:tickLblPos val="nextTo"/>
        <c:spPr>
          <a:ln w="6349">
            <a:noFill/>
          </a:ln>
        </c:spPr>
        <c:txPr>
          <a:bodyPr rot="0" vert="horz"/>
          <a:lstStyle/>
          <a:p>
            <a:pPr>
              <a:defRPr sz="700" b="1" i="0" u="none" strike="noStrike" baseline="0">
                <a:solidFill>
                  <a:srgbClr val="000000"/>
                </a:solidFill>
                <a:latin typeface="Arial"/>
                <a:ea typeface="Arial"/>
                <a:cs typeface="Arial"/>
              </a:defRPr>
            </a:pPr>
            <a:endParaRPr lang="es-ES"/>
          </a:p>
        </c:txPr>
        <c:crossAx val="1"/>
        <c:crosses val="autoZero"/>
        <c:auto val="1"/>
        <c:lblAlgn val="ctr"/>
        <c:lblOffset val="100"/>
        <c:noMultiLvlLbl val="0"/>
      </c:catAx>
      <c:valAx>
        <c:axId val="1"/>
        <c:scaling>
          <c:orientation val="minMax"/>
          <c:max val="2500"/>
        </c:scaling>
        <c:delete val="1"/>
        <c:axPos val="l"/>
        <c:numFmt formatCode="0" sourceLinked="1"/>
        <c:majorTickMark val="out"/>
        <c:minorTickMark val="none"/>
        <c:tickLblPos val="nextTo"/>
        <c:crossAx val="163710888"/>
        <c:crosses val="autoZero"/>
        <c:crossBetween val="between"/>
      </c:valAx>
      <c:spPr>
        <a:noFill/>
        <a:ln w="25398">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g"/><Relationship Id="rId4" Type="http://schemas.openxmlformats.org/officeDocument/2006/relationships/image" Target="../media/image12.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g"/><Relationship Id="rId4"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9751240-4639-43EB-8A6C-AECFE4ECFAF1}" type="doc">
      <dgm:prSet loTypeId="urn:microsoft.com/office/officeart/2008/layout/AlternatingPictureBlocks" loCatId="list" qsTypeId="urn:microsoft.com/office/officeart/2005/8/quickstyle/simple1" qsCatId="simple" csTypeId="urn:microsoft.com/office/officeart/2005/8/colors/colorful4" csCatId="colorful" phldr="1"/>
      <dgm:spPr/>
      <dgm:t>
        <a:bodyPr/>
        <a:lstStyle/>
        <a:p>
          <a:endParaRPr lang="es-CO"/>
        </a:p>
      </dgm:t>
    </dgm:pt>
    <dgm:pt modelId="{7F964000-FBC6-4DB4-88F7-5C05FA0D207A}">
      <dgm:prSet phldrT="[Texto]" custT="1"/>
      <dgm:spPr/>
      <dgm:t>
        <a:bodyPr/>
        <a:lstStyle/>
        <a:p>
          <a:r>
            <a:rPr lang="es-ES" sz="1050">
              <a:solidFill>
                <a:schemeClr val="tx1">
                  <a:lumMod val="75000"/>
                  <a:lumOff val="25000"/>
                </a:schemeClr>
              </a:solidFill>
              <a:latin typeface="Arial" panose="020B0604020202020204" pitchFamily="34" charset="0"/>
              <a:cs typeface="Arial" panose="020B0604020202020204" pitchFamily="34" charset="0"/>
            </a:rPr>
            <a:t>Se entregaron a la comunidad 62 obras a satisfacción durante la vigencia 2016 y 2017. </a:t>
          </a:r>
        </a:p>
        <a:p>
          <a:r>
            <a:rPr lang="es-ES" sz="1050">
              <a:solidFill>
                <a:schemeClr val="tx1">
                  <a:lumMod val="75000"/>
                  <a:lumOff val="25000"/>
                </a:schemeClr>
              </a:solidFill>
              <a:latin typeface="Arial" panose="020B0604020202020204" pitchFamily="34" charset="0"/>
              <a:cs typeface="Arial" panose="020B0604020202020204" pitchFamily="34" charset="0"/>
            </a:rPr>
            <a:t>Se continua con el seguimiento y control a la estabilidad y sostenibilidad de las obras.</a:t>
          </a:r>
          <a:endParaRPr lang="es-CO" sz="1050">
            <a:solidFill>
              <a:schemeClr val="tx1">
                <a:lumMod val="75000"/>
                <a:lumOff val="25000"/>
              </a:schemeClr>
            </a:solidFill>
            <a:latin typeface="Arial" panose="020B0604020202020204" pitchFamily="34" charset="0"/>
            <a:ea typeface="Tahoma" panose="020B0604030504040204" pitchFamily="34" charset="0"/>
            <a:cs typeface="Arial" panose="020B0604020202020204" pitchFamily="34" charset="0"/>
          </a:endParaRPr>
        </a:p>
      </dgm:t>
    </dgm:pt>
    <dgm:pt modelId="{B5FEDA0D-D2C5-45C4-97A9-D273900F2D47}" type="parTrans" cxnId="{EE5A6136-1DDA-4324-9E05-BEB127ADC21D}">
      <dgm:prSet/>
      <dgm:spPr/>
      <dgm:t>
        <a:bodyPr/>
        <a:lstStyle/>
        <a:p>
          <a:endParaRPr lang="es-CO" sz="1100">
            <a:latin typeface="Arial" panose="020B0604020202020204" pitchFamily="34" charset="0"/>
            <a:cs typeface="Arial" panose="020B0604020202020204" pitchFamily="34" charset="0"/>
          </a:endParaRPr>
        </a:p>
      </dgm:t>
    </dgm:pt>
    <dgm:pt modelId="{CD0BCB35-D823-49E3-8B9F-A0DE1DA2F64A}" type="sibTrans" cxnId="{EE5A6136-1DDA-4324-9E05-BEB127ADC21D}">
      <dgm:prSet/>
      <dgm:spPr/>
      <dgm:t>
        <a:bodyPr/>
        <a:lstStyle/>
        <a:p>
          <a:endParaRPr lang="es-CO" sz="1100">
            <a:latin typeface="Arial" panose="020B0604020202020204" pitchFamily="34" charset="0"/>
            <a:cs typeface="Arial" panose="020B0604020202020204" pitchFamily="34" charset="0"/>
          </a:endParaRPr>
        </a:p>
      </dgm:t>
    </dgm:pt>
    <dgm:pt modelId="{DB2B66DC-E6C6-48D9-B6CE-DDBEE4DB9426}">
      <dgm:prSet phldrT="[Texto]" custT="1"/>
      <dgm:spPr/>
      <dgm:t>
        <a:bodyPr/>
        <a:lstStyle/>
        <a:p>
          <a:r>
            <a:rPr lang="es-ES" sz="1100">
              <a:solidFill>
                <a:schemeClr val="tx1">
                  <a:lumMod val="75000"/>
                  <a:lumOff val="25000"/>
                </a:schemeClr>
              </a:solidFill>
              <a:latin typeface="Arial" panose="020B0604020202020204" pitchFamily="34" charset="0"/>
              <a:cs typeface="Arial" panose="020B0604020202020204" pitchFamily="34" charset="0"/>
            </a:rPr>
            <a:t>Se presentan avances representativos en la ejecución física de las 27 obras en espacio público a escala barrial programadas con recursos de la vigencia 2016.</a:t>
          </a:r>
          <a:endParaRPr lang="es-CO" sz="1100">
            <a:solidFill>
              <a:schemeClr val="tx1">
                <a:lumMod val="75000"/>
                <a:lumOff val="25000"/>
              </a:schemeClr>
            </a:solidFill>
            <a:latin typeface="Arial" panose="020B0604020202020204" pitchFamily="34" charset="0"/>
            <a:cs typeface="Arial" panose="020B0604020202020204" pitchFamily="34" charset="0"/>
          </a:endParaRPr>
        </a:p>
      </dgm:t>
    </dgm:pt>
    <dgm:pt modelId="{BBE68A15-CA0D-4C51-AA43-27BCC33AA8B4}" type="parTrans" cxnId="{0E7B8234-1732-4935-9C7F-E57BB88F27F4}">
      <dgm:prSet/>
      <dgm:spPr/>
      <dgm:t>
        <a:bodyPr/>
        <a:lstStyle/>
        <a:p>
          <a:endParaRPr lang="es-CO" sz="1100">
            <a:latin typeface="Arial" panose="020B0604020202020204" pitchFamily="34" charset="0"/>
            <a:cs typeface="Arial" panose="020B0604020202020204" pitchFamily="34" charset="0"/>
          </a:endParaRPr>
        </a:p>
      </dgm:t>
    </dgm:pt>
    <dgm:pt modelId="{C1003A2A-531B-4FCA-81BE-9E14E92CE452}" type="sibTrans" cxnId="{0E7B8234-1732-4935-9C7F-E57BB88F27F4}">
      <dgm:prSet/>
      <dgm:spPr/>
      <dgm:t>
        <a:bodyPr/>
        <a:lstStyle/>
        <a:p>
          <a:endParaRPr lang="es-CO" sz="1100">
            <a:latin typeface="Arial" panose="020B0604020202020204" pitchFamily="34" charset="0"/>
            <a:cs typeface="Arial" panose="020B0604020202020204" pitchFamily="34" charset="0"/>
          </a:endParaRPr>
        </a:p>
      </dgm:t>
    </dgm:pt>
    <dgm:pt modelId="{607823FC-697A-4FC3-80C5-0A83B4647D3E}">
      <dgm:prSet phldrT="[Texto]" custT="1"/>
      <dgm:spPr/>
      <dgm:t>
        <a:bodyPr/>
        <a:lstStyle/>
        <a:p>
          <a:r>
            <a:rPr lang="es-ES" sz="1100">
              <a:solidFill>
                <a:schemeClr val="tx1">
                  <a:lumMod val="75000"/>
                  <a:lumOff val="25000"/>
                </a:schemeClr>
              </a:solidFill>
              <a:latin typeface="Arial" panose="020B0604020202020204" pitchFamily="34" charset="0"/>
              <a:cs typeface="Arial" panose="020B0604020202020204" pitchFamily="34" charset="0"/>
            </a:rPr>
            <a:t>La adjudicación de la construcción de 13 segmentos viales por Código de Identificación Vial (CIV) y la publicación de la contratación de 15 segmentos más.</a:t>
          </a:r>
        </a:p>
        <a:p>
          <a:r>
            <a:rPr lang="es-ES" sz="1100">
              <a:solidFill>
                <a:schemeClr val="tx1">
                  <a:lumMod val="75000"/>
                  <a:lumOff val="25000"/>
                </a:schemeClr>
              </a:solidFill>
              <a:latin typeface="Arial" panose="020B0604020202020204" pitchFamily="34" charset="0"/>
              <a:cs typeface="Arial" panose="020B0604020202020204" pitchFamily="34" charset="0"/>
            </a:rPr>
            <a:t>En igual medida se adjudicaron los procesos para efectuar las reparaciones locativas de 20 salones comunales. </a:t>
          </a:r>
          <a:endParaRPr lang="es-CO" sz="1100">
            <a:solidFill>
              <a:schemeClr val="tx1">
                <a:lumMod val="75000"/>
                <a:lumOff val="25000"/>
              </a:schemeClr>
            </a:solidFill>
            <a:latin typeface="Arial" panose="020B0604020202020204" pitchFamily="34" charset="0"/>
            <a:cs typeface="Arial" panose="020B0604020202020204" pitchFamily="34" charset="0"/>
          </a:endParaRPr>
        </a:p>
      </dgm:t>
    </dgm:pt>
    <dgm:pt modelId="{78084BEB-6548-4895-870C-3EF74B349D7B}" type="parTrans" cxnId="{E11ACBC9-30CB-4A5E-AE88-72E0B700C705}">
      <dgm:prSet/>
      <dgm:spPr/>
      <dgm:t>
        <a:bodyPr/>
        <a:lstStyle/>
        <a:p>
          <a:endParaRPr lang="es-CO" sz="1100">
            <a:latin typeface="Arial" panose="020B0604020202020204" pitchFamily="34" charset="0"/>
            <a:cs typeface="Arial" panose="020B0604020202020204" pitchFamily="34" charset="0"/>
          </a:endParaRPr>
        </a:p>
      </dgm:t>
    </dgm:pt>
    <dgm:pt modelId="{6824219A-98B2-471A-81CD-6A82DB29FBC6}" type="sibTrans" cxnId="{E11ACBC9-30CB-4A5E-AE88-72E0B700C705}">
      <dgm:prSet/>
      <dgm:spPr/>
      <dgm:t>
        <a:bodyPr/>
        <a:lstStyle/>
        <a:p>
          <a:endParaRPr lang="es-CO" sz="1100">
            <a:latin typeface="Arial" panose="020B0604020202020204" pitchFamily="34" charset="0"/>
            <a:cs typeface="Arial" panose="020B0604020202020204" pitchFamily="34" charset="0"/>
          </a:endParaRPr>
        </a:p>
      </dgm:t>
    </dgm:pt>
    <dgm:pt modelId="{73D88550-C30B-4164-A74D-F338C491B1F9}">
      <dgm:prSet phldrT="[Texto]" custT="1"/>
      <dgm:spPr/>
      <dgm:t>
        <a:bodyPr/>
        <a:lstStyle/>
        <a:p>
          <a:r>
            <a:rPr lang="es-ES" sz="1100">
              <a:solidFill>
                <a:schemeClr val="tx1">
                  <a:lumMod val="85000"/>
                  <a:lumOff val="15000"/>
                </a:schemeClr>
              </a:solidFill>
              <a:latin typeface="Arial" panose="020B0604020202020204" pitchFamily="34" charset="0"/>
              <a:cs typeface="Arial" panose="020B0604020202020204" pitchFamily="34" charset="0"/>
            </a:rPr>
            <a:t>La proyección de pliegos y condiciones, y Anexos Técnico, Seguridad, Salud en el Trabajo y Medio Ambiente (SSTMA) y Social,  para continuar con la publicación de la contratación de 52 estudios y diseños por Código de Identificación Vial (CIV), en el mes de noviembre de 2017,.</a:t>
          </a:r>
          <a:endParaRPr lang="es-CO" sz="1100">
            <a:solidFill>
              <a:schemeClr val="tx1">
                <a:lumMod val="85000"/>
                <a:lumOff val="15000"/>
              </a:schemeClr>
            </a:solidFill>
            <a:latin typeface="Arial" panose="020B0604020202020204" pitchFamily="34" charset="0"/>
            <a:cs typeface="Arial" panose="020B0604020202020204" pitchFamily="34" charset="0"/>
          </a:endParaRPr>
        </a:p>
      </dgm:t>
    </dgm:pt>
    <dgm:pt modelId="{6B63B650-17C6-4A13-9B7E-1DDE287B0513}" type="parTrans" cxnId="{7CD9EC81-C280-477C-84A4-BEFFF59D11BE}">
      <dgm:prSet/>
      <dgm:spPr/>
      <dgm:t>
        <a:bodyPr/>
        <a:lstStyle/>
        <a:p>
          <a:endParaRPr lang="es-CO" sz="1100">
            <a:latin typeface="Arial" panose="020B0604020202020204" pitchFamily="34" charset="0"/>
            <a:cs typeface="Arial" panose="020B0604020202020204" pitchFamily="34" charset="0"/>
          </a:endParaRPr>
        </a:p>
      </dgm:t>
    </dgm:pt>
    <dgm:pt modelId="{6C7FCE8B-D48C-431A-B056-7C1755EC513E}" type="sibTrans" cxnId="{7CD9EC81-C280-477C-84A4-BEFFF59D11BE}">
      <dgm:prSet/>
      <dgm:spPr/>
      <dgm:t>
        <a:bodyPr/>
        <a:lstStyle/>
        <a:p>
          <a:endParaRPr lang="es-CO" sz="1100">
            <a:latin typeface="Arial" panose="020B0604020202020204" pitchFamily="34" charset="0"/>
            <a:cs typeface="Arial" panose="020B0604020202020204" pitchFamily="34" charset="0"/>
          </a:endParaRPr>
        </a:p>
      </dgm:t>
    </dgm:pt>
    <dgm:pt modelId="{51A840E3-1C0E-4C55-B478-9DE99FE0C9DC}" type="pres">
      <dgm:prSet presAssocID="{C9751240-4639-43EB-8A6C-AECFE4ECFAF1}" presName="linearFlow" presStyleCnt="0">
        <dgm:presLayoutVars>
          <dgm:dir/>
          <dgm:resizeHandles val="exact"/>
        </dgm:presLayoutVars>
      </dgm:prSet>
      <dgm:spPr/>
    </dgm:pt>
    <dgm:pt modelId="{212417A0-1950-4E96-871B-C187446BAB56}" type="pres">
      <dgm:prSet presAssocID="{7F964000-FBC6-4DB4-88F7-5C05FA0D207A}" presName="comp" presStyleCnt="0"/>
      <dgm:spPr/>
    </dgm:pt>
    <dgm:pt modelId="{BDE3CD99-D3D6-485E-B6D8-2D5BB890A0D1}" type="pres">
      <dgm:prSet presAssocID="{7F964000-FBC6-4DB4-88F7-5C05FA0D207A}" presName="rect2" presStyleLbl="node1" presStyleIdx="0" presStyleCnt="4" custScaleX="221425" custScaleY="175350" custLinFactNeighborX="78886" custLinFactNeighborY="-39576">
        <dgm:presLayoutVars>
          <dgm:bulletEnabled val="1"/>
        </dgm:presLayoutVars>
      </dgm:prSet>
      <dgm:spPr/>
    </dgm:pt>
    <dgm:pt modelId="{DF65DEC5-66DE-4DC0-82D0-7E39A000D76B}" type="pres">
      <dgm:prSet presAssocID="{7F964000-FBC6-4DB4-88F7-5C05FA0D207A}" presName="rect1" presStyleLbl="lnNode1" presStyleIdx="0" presStyleCnt="4" custScaleX="328420" custScaleY="295004" custLinFactX="-70268" custLinFactNeighborX="-100000" custLinFactNeighborY="11912"/>
      <dgm:spPr>
        <a:blipFill>
          <a:blip xmlns:r="http://schemas.openxmlformats.org/officeDocument/2006/relationships" r:embed="rId1">
            <a:extLst>
              <a:ext uri="{28A0092B-C50C-407E-A947-70E740481C1C}">
                <a14:useLocalDpi xmlns:a14="http://schemas.microsoft.com/office/drawing/2010/main" val="0"/>
              </a:ext>
            </a:extLst>
          </a:blip>
          <a:srcRect/>
          <a:stretch>
            <a:fillRect t="-49000" b="-49000"/>
          </a:stretch>
        </a:blipFill>
      </dgm:spPr>
    </dgm:pt>
    <dgm:pt modelId="{DFFC6EDD-854D-4300-8307-5DA966E12795}" type="pres">
      <dgm:prSet presAssocID="{CD0BCB35-D823-49E3-8B9F-A0DE1DA2F64A}" presName="sibTrans" presStyleCnt="0"/>
      <dgm:spPr/>
    </dgm:pt>
    <dgm:pt modelId="{6746A690-016F-4841-BDCE-4893B4816BD4}" type="pres">
      <dgm:prSet presAssocID="{DB2B66DC-E6C6-48D9-B6CE-DDBEE4DB9426}" presName="comp" presStyleCnt="0"/>
      <dgm:spPr/>
    </dgm:pt>
    <dgm:pt modelId="{78476121-23B5-45BD-9B92-6175E906D044}" type="pres">
      <dgm:prSet presAssocID="{DB2B66DC-E6C6-48D9-B6CE-DDBEE4DB9426}" presName="rect2" presStyleLbl="node1" presStyleIdx="1" presStyleCnt="4" custScaleX="224651" custScaleY="166636" custLinFactNeighborX="-75030" custLinFactNeighborY="-17208">
        <dgm:presLayoutVars>
          <dgm:bulletEnabled val="1"/>
        </dgm:presLayoutVars>
      </dgm:prSet>
      <dgm:spPr/>
    </dgm:pt>
    <dgm:pt modelId="{8665C228-C113-4307-913E-04EEB916C4E9}" type="pres">
      <dgm:prSet presAssocID="{DB2B66DC-E6C6-48D9-B6CE-DDBEE4DB9426}" presName="rect1" presStyleLbl="lnNode1" presStyleIdx="1" presStyleCnt="4" custScaleX="344565" custScaleY="289825" custLinFactX="62891" custLinFactNeighborX="100000" custLinFactNeighborY="-7460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dgm:spPr>
    </dgm:pt>
    <dgm:pt modelId="{CA51FF7A-E99C-4273-9B4B-58E2F1ECC6CB}" type="pres">
      <dgm:prSet presAssocID="{C1003A2A-531B-4FCA-81BE-9E14E92CE452}" presName="sibTrans" presStyleCnt="0"/>
      <dgm:spPr/>
    </dgm:pt>
    <dgm:pt modelId="{8AA088B7-594A-4398-AEDE-73177D31354A}" type="pres">
      <dgm:prSet presAssocID="{607823FC-697A-4FC3-80C5-0A83B4647D3E}" presName="comp" presStyleCnt="0"/>
      <dgm:spPr/>
    </dgm:pt>
    <dgm:pt modelId="{0A00BEBB-3B9B-47DD-A156-589049899BA2}" type="pres">
      <dgm:prSet presAssocID="{607823FC-697A-4FC3-80C5-0A83B4647D3E}" presName="rect2" presStyleLbl="node1" presStyleIdx="2" presStyleCnt="4" custScaleX="206945" custScaleY="209582" custLinFactNeighborX="77685" custLinFactNeighborY="-74371">
        <dgm:presLayoutVars>
          <dgm:bulletEnabled val="1"/>
        </dgm:presLayoutVars>
      </dgm:prSet>
      <dgm:spPr/>
    </dgm:pt>
    <dgm:pt modelId="{1F9DBF33-2A1F-4F8F-AED2-40D906B46F14}" type="pres">
      <dgm:prSet presAssocID="{607823FC-697A-4FC3-80C5-0A83B4647D3E}" presName="rect1" presStyleLbl="lnNode1" presStyleIdx="2" presStyleCnt="4" custScaleX="321134" custScaleY="267843" custLinFactX="-76944" custLinFactNeighborX="-100000" custLinFactNeighborY="-50929"/>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dgm:spPr>
    </dgm:pt>
    <dgm:pt modelId="{27E3856B-DDCC-4A63-97AD-0F987530130F}" type="pres">
      <dgm:prSet presAssocID="{6824219A-98B2-471A-81CD-6A82DB29FBC6}" presName="sibTrans" presStyleCnt="0"/>
      <dgm:spPr/>
    </dgm:pt>
    <dgm:pt modelId="{033B0402-BA89-40D9-AD28-56C1F9EE434B}" type="pres">
      <dgm:prSet presAssocID="{73D88550-C30B-4164-A74D-F338C491B1F9}" presName="comp" presStyleCnt="0"/>
      <dgm:spPr/>
    </dgm:pt>
    <dgm:pt modelId="{9191A980-F7FE-468C-B3F3-3FAB6646C740}" type="pres">
      <dgm:prSet presAssocID="{73D88550-C30B-4164-A74D-F338C491B1F9}" presName="rect2" presStyleLbl="node1" presStyleIdx="3" presStyleCnt="4" custScaleX="229678" custScaleY="233823" custLinFactNeighborX="-74432" custLinFactNeighborY="-22354">
        <dgm:presLayoutVars>
          <dgm:bulletEnabled val="1"/>
        </dgm:presLayoutVars>
      </dgm:prSet>
      <dgm:spPr/>
    </dgm:pt>
    <dgm:pt modelId="{3114C68C-5450-4CC3-B310-1DF2D91103E0}" type="pres">
      <dgm:prSet presAssocID="{73D88550-C30B-4164-A74D-F338C491B1F9}" presName="rect1" presStyleLbl="lnNode1" presStyleIdx="3" presStyleCnt="4" custScaleX="306695" custScaleY="300701" custLinFactX="62352" custLinFactNeighborX="100000" custLinFactNeighborY="-47283"/>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dgm:spPr>
    </dgm:pt>
  </dgm:ptLst>
  <dgm:cxnLst>
    <dgm:cxn modelId="{4A02F00B-841D-4911-985F-015FF0AFA968}" type="presOf" srcId="{607823FC-697A-4FC3-80C5-0A83B4647D3E}" destId="{0A00BEBB-3B9B-47DD-A156-589049899BA2}" srcOrd="0" destOrd="0" presId="urn:microsoft.com/office/officeart/2008/layout/AlternatingPictureBlocks"/>
    <dgm:cxn modelId="{0E7B8234-1732-4935-9C7F-E57BB88F27F4}" srcId="{C9751240-4639-43EB-8A6C-AECFE4ECFAF1}" destId="{DB2B66DC-E6C6-48D9-B6CE-DDBEE4DB9426}" srcOrd="1" destOrd="0" parTransId="{BBE68A15-CA0D-4C51-AA43-27BCC33AA8B4}" sibTransId="{C1003A2A-531B-4FCA-81BE-9E14E92CE452}"/>
    <dgm:cxn modelId="{EE5A6136-1DDA-4324-9E05-BEB127ADC21D}" srcId="{C9751240-4639-43EB-8A6C-AECFE4ECFAF1}" destId="{7F964000-FBC6-4DB4-88F7-5C05FA0D207A}" srcOrd="0" destOrd="0" parTransId="{B5FEDA0D-D2C5-45C4-97A9-D273900F2D47}" sibTransId="{CD0BCB35-D823-49E3-8B9F-A0DE1DA2F64A}"/>
    <dgm:cxn modelId="{27F92447-B264-464F-933C-3CEB8B6C29F2}" type="presOf" srcId="{C9751240-4639-43EB-8A6C-AECFE4ECFAF1}" destId="{51A840E3-1C0E-4C55-B478-9DE99FE0C9DC}" srcOrd="0" destOrd="0" presId="urn:microsoft.com/office/officeart/2008/layout/AlternatingPictureBlocks"/>
    <dgm:cxn modelId="{EB6D8869-15FA-42C1-9789-CAD45D345516}" type="presOf" srcId="{7F964000-FBC6-4DB4-88F7-5C05FA0D207A}" destId="{BDE3CD99-D3D6-485E-B6D8-2D5BB890A0D1}" srcOrd="0" destOrd="0" presId="urn:microsoft.com/office/officeart/2008/layout/AlternatingPictureBlocks"/>
    <dgm:cxn modelId="{537E2753-0FC5-4A1F-A0BC-CCA546BE72B8}" type="presOf" srcId="{DB2B66DC-E6C6-48D9-B6CE-DDBEE4DB9426}" destId="{78476121-23B5-45BD-9B92-6175E906D044}" srcOrd="0" destOrd="0" presId="urn:microsoft.com/office/officeart/2008/layout/AlternatingPictureBlocks"/>
    <dgm:cxn modelId="{7CD9EC81-C280-477C-84A4-BEFFF59D11BE}" srcId="{C9751240-4639-43EB-8A6C-AECFE4ECFAF1}" destId="{73D88550-C30B-4164-A74D-F338C491B1F9}" srcOrd="3" destOrd="0" parTransId="{6B63B650-17C6-4A13-9B7E-1DDE287B0513}" sibTransId="{6C7FCE8B-D48C-431A-B056-7C1755EC513E}"/>
    <dgm:cxn modelId="{836087C8-FD15-490A-906D-161981EFB22B}" type="presOf" srcId="{73D88550-C30B-4164-A74D-F338C491B1F9}" destId="{9191A980-F7FE-468C-B3F3-3FAB6646C740}" srcOrd="0" destOrd="0" presId="urn:microsoft.com/office/officeart/2008/layout/AlternatingPictureBlocks"/>
    <dgm:cxn modelId="{E11ACBC9-30CB-4A5E-AE88-72E0B700C705}" srcId="{C9751240-4639-43EB-8A6C-AECFE4ECFAF1}" destId="{607823FC-697A-4FC3-80C5-0A83B4647D3E}" srcOrd="2" destOrd="0" parTransId="{78084BEB-6548-4895-870C-3EF74B349D7B}" sibTransId="{6824219A-98B2-471A-81CD-6A82DB29FBC6}"/>
    <dgm:cxn modelId="{48AFC99B-6AD7-445E-9F72-7AC69676A389}" type="presParOf" srcId="{51A840E3-1C0E-4C55-B478-9DE99FE0C9DC}" destId="{212417A0-1950-4E96-871B-C187446BAB56}" srcOrd="0" destOrd="0" presId="urn:microsoft.com/office/officeart/2008/layout/AlternatingPictureBlocks"/>
    <dgm:cxn modelId="{3B3E9758-C8B3-4C16-8519-9C65D0A0CD52}" type="presParOf" srcId="{212417A0-1950-4E96-871B-C187446BAB56}" destId="{BDE3CD99-D3D6-485E-B6D8-2D5BB890A0D1}" srcOrd="0" destOrd="0" presId="urn:microsoft.com/office/officeart/2008/layout/AlternatingPictureBlocks"/>
    <dgm:cxn modelId="{A0DAC6AE-BC63-47C8-B0D1-BC9A312ED3E3}" type="presParOf" srcId="{212417A0-1950-4E96-871B-C187446BAB56}" destId="{DF65DEC5-66DE-4DC0-82D0-7E39A000D76B}" srcOrd="1" destOrd="0" presId="urn:microsoft.com/office/officeart/2008/layout/AlternatingPictureBlocks"/>
    <dgm:cxn modelId="{C3595607-C4C7-4A86-B432-82BA91B89157}" type="presParOf" srcId="{51A840E3-1C0E-4C55-B478-9DE99FE0C9DC}" destId="{DFFC6EDD-854D-4300-8307-5DA966E12795}" srcOrd="1" destOrd="0" presId="urn:microsoft.com/office/officeart/2008/layout/AlternatingPictureBlocks"/>
    <dgm:cxn modelId="{8058C418-0E73-4E1C-A782-E296F958424C}" type="presParOf" srcId="{51A840E3-1C0E-4C55-B478-9DE99FE0C9DC}" destId="{6746A690-016F-4841-BDCE-4893B4816BD4}" srcOrd="2" destOrd="0" presId="urn:microsoft.com/office/officeart/2008/layout/AlternatingPictureBlocks"/>
    <dgm:cxn modelId="{D7F378CA-DED1-434C-8124-B1E8B3A66189}" type="presParOf" srcId="{6746A690-016F-4841-BDCE-4893B4816BD4}" destId="{78476121-23B5-45BD-9B92-6175E906D044}" srcOrd="0" destOrd="0" presId="urn:microsoft.com/office/officeart/2008/layout/AlternatingPictureBlocks"/>
    <dgm:cxn modelId="{370FB3CF-A677-4513-96A5-6F889E407FC5}" type="presParOf" srcId="{6746A690-016F-4841-BDCE-4893B4816BD4}" destId="{8665C228-C113-4307-913E-04EEB916C4E9}" srcOrd="1" destOrd="0" presId="urn:microsoft.com/office/officeart/2008/layout/AlternatingPictureBlocks"/>
    <dgm:cxn modelId="{181EF350-CF80-4883-86A8-0EAE4E67E633}" type="presParOf" srcId="{51A840E3-1C0E-4C55-B478-9DE99FE0C9DC}" destId="{CA51FF7A-E99C-4273-9B4B-58E2F1ECC6CB}" srcOrd="3" destOrd="0" presId="urn:microsoft.com/office/officeart/2008/layout/AlternatingPictureBlocks"/>
    <dgm:cxn modelId="{82BAF817-04D2-44AB-871C-56B50AFFE93C}" type="presParOf" srcId="{51A840E3-1C0E-4C55-B478-9DE99FE0C9DC}" destId="{8AA088B7-594A-4398-AEDE-73177D31354A}" srcOrd="4" destOrd="0" presId="urn:microsoft.com/office/officeart/2008/layout/AlternatingPictureBlocks"/>
    <dgm:cxn modelId="{BAEB1763-BFB3-446C-B659-B79727D20B5C}" type="presParOf" srcId="{8AA088B7-594A-4398-AEDE-73177D31354A}" destId="{0A00BEBB-3B9B-47DD-A156-589049899BA2}" srcOrd="0" destOrd="0" presId="urn:microsoft.com/office/officeart/2008/layout/AlternatingPictureBlocks"/>
    <dgm:cxn modelId="{F4168D06-FD5B-429D-8277-74D340E17176}" type="presParOf" srcId="{8AA088B7-594A-4398-AEDE-73177D31354A}" destId="{1F9DBF33-2A1F-4F8F-AED2-40D906B46F14}" srcOrd="1" destOrd="0" presId="urn:microsoft.com/office/officeart/2008/layout/AlternatingPictureBlocks"/>
    <dgm:cxn modelId="{952C2AAF-D13A-4788-A093-2A8B3B988685}" type="presParOf" srcId="{51A840E3-1C0E-4C55-B478-9DE99FE0C9DC}" destId="{27E3856B-DDCC-4A63-97AD-0F987530130F}" srcOrd="5" destOrd="0" presId="urn:microsoft.com/office/officeart/2008/layout/AlternatingPictureBlocks"/>
    <dgm:cxn modelId="{9F39CEEE-ABB4-49E0-BEDC-013BF5A45921}" type="presParOf" srcId="{51A840E3-1C0E-4C55-B478-9DE99FE0C9DC}" destId="{033B0402-BA89-40D9-AD28-56C1F9EE434B}" srcOrd="6" destOrd="0" presId="urn:microsoft.com/office/officeart/2008/layout/AlternatingPictureBlocks"/>
    <dgm:cxn modelId="{A7E887F1-68D2-4885-AC1C-B5B05AE0FDA3}" type="presParOf" srcId="{033B0402-BA89-40D9-AD28-56C1F9EE434B}" destId="{9191A980-F7FE-468C-B3F3-3FAB6646C740}" srcOrd="0" destOrd="0" presId="urn:microsoft.com/office/officeart/2008/layout/AlternatingPictureBlocks"/>
    <dgm:cxn modelId="{D3E42E39-4D81-48A3-AA90-1AB96E69A4B7}" type="presParOf" srcId="{033B0402-BA89-40D9-AD28-56C1F9EE434B}" destId="{3114C68C-5450-4CC3-B310-1DF2D91103E0}" srcOrd="1" destOrd="0" presId="urn:microsoft.com/office/officeart/2008/layout/AlternatingPictureBlocks"/>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B17FFC-42E1-4C95-BB38-B3DF53DA520E}" type="doc">
      <dgm:prSet loTypeId="urn:microsoft.com/office/officeart/2005/8/layout/hProcess9" loCatId="process" qsTypeId="urn:microsoft.com/office/officeart/2005/8/quickstyle/simple1" qsCatId="simple" csTypeId="urn:microsoft.com/office/officeart/2005/8/colors/colorful5" csCatId="colorful" phldr="1"/>
      <dgm:spPr/>
    </dgm:pt>
    <dgm:pt modelId="{50B7FA8D-22CB-4F48-8D81-59E03CF2CEF2}">
      <dgm:prSet phldrT="[Texto]" custT="1"/>
      <dgm:spPr/>
      <dgm:t>
        <a:bodyPr/>
        <a:lstStyle/>
        <a:p>
          <a:pPr algn="ctr"/>
          <a:r>
            <a:rPr lang="es-ES" sz="1200" b="1"/>
            <a:t>Reunión de Inicio</a:t>
          </a:r>
        </a:p>
      </dgm:t>
    </dgm:pt>
    <dgm:pt modelId="{A5B4F547-D588-45F2-AA43-01B0718EB972}" type="parTrans" cxnId="{66453F07-579F-47DD-B8E1-F82EB0878200}">
      <dgm:prSet/>
      <dgm:spPr/>
      <dgm:t>
        <a:bodyPr/>
        <a:lstStyle/>
        <a:p>
          <a:pPr algn="ctr"/>
          <a:endParaRPr lang="es-ES" sz="2800"/>
        </a:p>
      </dgm:t>
    </dgm:pt>
    <dgm:pt modelId="{11EFEF9E-4435-460D-813E-597CB4974FD9}" type="sibTrans" cxnId="{66453F07-579F-47DD-B8E1-F82EB0878200}">
      <dgm:prSet/>
      <dgm:spPr/>
      <dgm:t>
        <a:bodyPr/>
        <a:lstStyle/>
        <a:p>
          <a:pPr algn="ctr"/>
          <a:endParaRPr lang="es-ES" sz="2800"/>
        </a:p>
      </dgm:t>
    </dgm:pt>
    <dgm:pt modelId="{ED95D39F-F348-439E-9650-902786CF2AD9}">
      <dgm:prSet phldrT="[Texto]" custT="1"/>
      <dgm:spPr/>
      <dgm:t>
        <a:bodyPr/>
        <a:lstStyle/>
        <a:p>
          <a:pPr algn="ctr"/>
          <a:r>
            <a:rPr lang="es-ES" sz="1200" b="1"/>
            <a:t>Taller de Arquitectura</a:t>
          </a:r>
        </a:p>
      </dgm:t>
    </dgm:pt>
    <dgm:pt modelId="{39F27162-8BC6-41AB-8084-009F6669C78B}" type="parTrans" cxnId="{E263BFE6-5C5E-4D9B-BBFD-5B16F52DEC4F}">
      <dgm:prSet/>
      <dgm:spPr/>
      <dgm:t>
        <a:bodyPr/>
        <a:lstStyle/>
        <a:p>
          <a:pPr algn="ctr"/>
          <a:endParaRPr lang="es-ES" sz="2800"/>
        </a:p>
      </dgm:t>
    </dgm:pt>
    <dgm:pt modelId="{82DBEA11-DAEA-46B7-83E2-0EFCC1F11C10}" type="sibTrans" cxnId="{E263BFE6-5C5E-4D9B-BBFD-5B16F52DEC4F}">
      <dgm:prSet/>
      <dgm:spPr/>
      <dgm:t>
        <a:bodyPr/>
        <a:lstStyle/>
        <a:p>
          <a:pPr algn="ctr"/>
          <a:endParaRPr lang="es-ES" sz="2800"/>
        </a:p>
      </dgm:t>
    </dgm:pt>
    <dgm:pt modelId="{6E2EC47E-57C8-4987-A700-E2E19193D71F}">
      <dgm:prSet phldrT="[Texto]" custT="1"/>
      <dgm:spPr/>
      <dgm:t>
        <a:bodyPr/>
        <a:lstStyle/>
        <a:p>
          <a:pPr algn="ctr"/>
          <a:r>
            <a:rPr lang="es-ES" sz="1200" b="1"/>
            <a:t>Reunión de Socialización y Armonización de Diseños</a:t>
          </a:r>
        </a:p>
      </dgm:t>
    </dgm:pt>
    <dgm:pt modelId="{958EB18E-C8C8-4756-8A0D-091C278834B2}" type="parTrans" cxnId="{A601EDAB-B6E1-404C-A2CB-ADA893280B74}">
      <dgm:prSet/>
      <dgm:spPr/>
      <dgm:t>
        <a:bodyPr/>
        <a:lstStyle/>
        <a:p>
          <a:pPr algn="ctr"/>
          <a:endParaRPr lang="es-ES" sz="2800"/>
        </a:p>
      </dgm:t>
    </dgm:pt>
    <dgm:pt modelId="{2F23B8EF-8DCD-4604-B91C-FC49A5F0063B}" type="sibTrans" cxnId="{A601EDAB-B6E1-404C-A2CB-ADA893280B74}">
      <dgm:prSet/>
      <dgm:spPr/>
      <dgm:t>
        <a:bodyPr/>
        <a:lstStyle/>
        <a:p>
          <a:pPr algn="ctr"/>
          <a:endParaRPr lang="es-ES" sz="2800"/>
        </a:p>
      </dgm:t>
    </dgm:pt>
    <dgm:pt modelId="{AE292308-6402-46DC-AEB3-1CFABCE2DF82}" type="pres">
      <dgm:prSet presAssocID="{B6B17FFC-42E1-4C95-BB38-B3DF53DA520E}" presName="CompostProcess" presStyleCnt="0">
        <dgm:presLayoutVars>
          <dgm:dir/>
          <dgm:resizeHandles val="exact"/>
        </dgm:presLayoutVars>
      </dgm:prSet>
      <dgm:spPr/>
    </dgm:pt>
    <dgm:pt modelId="{DAEFC826-1F4D-44A1-8203-F55478F7E276}" type="pres">
      <dgm:prSet presAssocID="{B6B17FFC-42E1-4C95-BB38-B3DF53DA520E}" presName="arrow" presStyleLbl="bgShp" presStyleIdx="0" presStyleCnt="1"/>
      <dgm:spPr/>
    </dgm:pt>
    <dgm:pt modelId="{734FEE0C-6717-422F-AE35-F91FED6D95B4}" type="pres">
      <dgm:prSet presAssocID="{B6B17FFC-42E1-4C95-BB38-B3DF53DA520E}" presName="linearProcess" presStyleCnt="0"/>
      <dgm:spPr/>
    </dgm:pt>
    <dgm:pt modelId="{B072FD0A-6290-4C3C-A947-44E4CE7AB2ED}" type="pres">
      <dgm:prSet presAssocID="{50B7FA8D-22CB-4F48-8D81-59E03CF2CEF2}" presName="textNode" presStyleLbl="node1" presStyleIdx="0" presStyleCnt="3">
        <dgm:presLayoutVars>
          <dgm:bulletEnabled val="1"/>
        </dgm:presLayoutVars>
      </dgm:prSet>
      <dgm:spPr/>
    </dgm:pt>
    <dgm:pt modelId="{3899C975-B4F3-44FB-92AD-080893D5CE14}" type="pres">
      <dgm:prSet presAssocID="{11EFEF9E-4435-460D-813E-597CB4974FD9}" presName="sibTrans" presStyleCnt="0"/>
      <dgm:spPr/>
    </dgm:pt>
    <dgm:pt modelId="{2E7DDC2B-8224-4F9E-A866-A58D4C1783D7}" type="pres">
      <dgm:prSet presAssocID="{ED95D39F-F348-439E-9650-902786CF2AD9}" presName="textNode" presStyleLbl="node1" presStyleIdx="1" presStyleCnt="3">
        <dgm:presLayoutVars>
          <dgm:bulletEnabled val="1"/>
        </dgm:presLayoutVars>
      </dgm:prSet>
      <dgm:spPr/>
    </dgm:pt>
    <dgm:pt modelId="{E9F31502-E8BC-4A24-9D68-56192D57D2BF}" type="pres">
      <dgm:prSet presAssocID="{82DBEA11-DAEA-46B7-83E2-0EFCC1F11C10}" presName="sibTrans" presStyleCnt="0"/>
      <dgm:spPr/>
    </dgm:pt>
    <dgm:pt modelId="{5F9CF41B-67BD-4D90-9630-B2F98723E743}" type="pres">
      <dgm:prSet presAssocID="{6E2EC47E-57C8-4987-A700-E2E19193D71F}" presName="textNode" presStyleLbl="node1" presStyleIdx="2" presStyleCnt="3">
        <dgm:presLayoutVars>
          <dgm:bulletEnabled val="1"/>
        </dgm:presLayoutVars>
      </dgm:prSet>
      <dgm:spPr/>
    </dgm:pt>
  </dgm:ptLst>
  <dgm:cxnLst>
    <dgm:cxn modelId="{27575101-55CE-4888-A122-291E40A1A818}" type="presOf" srcId="{ED95D39F-F348-439E-9650-902786CF2AD9}" destId="{2E7DDC2B-8224-4F9E-A866-A58D4C1783D7}" srcOrd="0" destOrd="0" presId="urn:microsoft.com/office/officeart/2005/8/layout/hProcess9"/>
    <dgm:cxn modelId="{66453F07-579F-47DD-B8E1-F82EB0878200}" srcId="{B6B17FFC-42E1-4C95-BB38-B3DF53DA520E}" destId="{50B7FA8D-22CB-4F48-8D81-59E03CF2CEF2}" srcOrd="0" destOrd="0" parTransId="{A5B4F547-D588-45F2-AA43-01B0718EB972}" sibTransId="{11EFEF9E-4435-460D-813E-597CB4974FD9}"/>
    <dgm:cxn modelId="{A601EDAB-B6E1-404C-A2CB-ADA893280B74}" srcId="{B6B17FFC-42E1-4C95-BB38-B3DF53DA520E}" destId="{6E2EC47E-57C8-4987-A700-E2E19193D71F}" srcOrd="2" destOrd="0" parTransId="{958EB18E-C8C8-4756-8A0D-091C278834B2}" sibTransId="{2F23B8EF-8DCD-4604-B91C-FC49A5F0063B}"/>
    <dgm:cxn modelId="{B5E9FDBA-E2B6-4396-B6EE-4F374EA3A04E}" type="presOf" srcId="{B6B17FFC-42E1-4C95-BB38-B3DF53DA520E}" destId="{AE292308-6402-46DC-AEB3-1CFABCE2DF82}" srcOrd="0" destOrd="0" presId="urn:microsoft.com/office/officeart/2005/8/layout/hProcess9"/>
    <dgm:cxn modelId="{18FA37CB-52AB-478C-81C3-04DCC219B04A}" type="presOf" srcId="{50B7FA8D-22CB-4F48-8D81-59E03CF2CEF2}" destId="{B072FD0A-6290-4C3C-A947-44E4CE7AB2ED}" srcOrd="0" destOrd="0" presId="urn:microsoft.com/office/officeart/2005/8/layout/hProcess9"/>
    <dgm:cxn modelId="{08F269CE-F4BD-4BA3-A410-EC7635C36F17}" type="presOf" srcId="{6E2EC47E-57C8-4987-A700-E2E19193D71F}" destId="{5F9CF41B-67BD-4D90-9630-B2F98723E743}" srcOrd="0" destOrd="0" presId="urn:microsoft.com/office/officeart/2005/8/layout/hProcess9"/>
    <dgm:cxn modelId="{E263BFE6-5C5E-4D9B-BBFD-5B16F52DEC4F}" srcId="{B6B17FFC-42E1-4C95-BB38-B3DF53DA520E}" destId="{ED95D39F-F348-439E-9650-902786CF2AD9}" srcOrd="1" destOrd="0" parTransId="{39F27162-8BC6-41AB-8084-009F6669C78B}" sibTransId="{82DBEA11-DAEA-46B7-83E2-0EFCC1F11C10}"/>
    <dgm:cxn modelId="{A2DB16E5-8711-49E5-8324-4F9212C136CC}" type="presParOf" srcId="{AE292308-6402-46DC-AEB3-1CFABCE2DF82}" destId="{DAEFC826-1F4D-44A1-8203-F55478F7E276}" srcOrd="0" destOrd="0" presId="urn:microsoft.com/office/officeart/2005/8/layout/hProcess9"/>
    <dgm:cxn modelId="{747A7040-78D4-4282-AB5C-20D6340E16DC}" type="presParOf" srcId="{AE292308-6402-46DC-AEB3-1CFABCE2DF82}" destId="{734FEE0C-6717-422F-AE35-F91FED6D95B4}" srcOrd="1" destOrd="0" presId="urn:microsoft.com/office/officeart/2005/8/layout/hProcess9"/>
    <dgm:cxn modelId="{F97C3DE0-1C8E-46BD-94DD-7F471570C6C8}" type="presParOf" srcId="{734FEE0C-6717-422F-AE35-F91FED6D95B4}" destId="{B072FD0A-6290-4C3C-A947-44E4CE7AB2ED}" srcOrd="0" destOrd="0" presId="urn:microsoft.com/office/officeart/2005/8/layout/hProcess9"/>
    <dgm:cxn modelId="{6CEBF139-AF9F-47FF-97EA-0AFAB8212F35}" type="presParOf" srcId="{734FEE0C-6717-422F-AE35-F91FED6D95B4}" destId="{3899C975-B4F3-44FB-92AD-080893D5CE14}" srcOrd="1" destOrd="0" presId="urn:microsoft.com/office/officeart/2005/8/layout/hProcess9"/>
    <dgm:cxn modelId="{8548AB93-9708-4A9B-BE64-FB96D37E977E}" type="presParOf" srcId="{734FEE0C-6717-422F-AE35-F91FED6D95B4}" destId="{2E7DDC2B-8224-4F9E-A866-A58D4C1783D7}" srcOrd="2" destOrd="0" presId="urn:microsoft.com/office/officeart/2005/8/layout/hProcess9"/>
    <dgm:cxn modelId="{9252DBB6-93BA-4EE8-9973-717569DA8FB8}" type="presParOf" srcId="{734FEE0C-6717-422F-AE35-F91FED6D95B4}" destId="{E9F31502-E8BC-4A24-9D68-56192D57D2BF}" srcOrd="3" destOrd="0" presId="urn:microsoft.com/office/officeart/2005/8/layout/hProcess9"/>
    <dgm:cxn modelId="{3901E780-5AD7-4F17-A267-EF42E264E333}" type="presParOf" srcId="{734FEE0C-6717-422F-AE35-F91FED6D95B4}" destId="{5F9CF41B-67BD-4D90-9630-B2F98723E743}" srcOrd="4" destOrd="0" presId="urn:microsoft.com/office/officeart/2005/8/layout/hProcess9"/>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68DFC12-7382-4911-9D8C-2CDE5AE50228}" type="doc">
      <dgm:prSet loTypeId="urn:microsoft.com/office/officeart/2005/8/layout/hProcess9" loCatId="process" qsTypeId="urn:microsoft.com/office/officeart/2005/8/quickstyle/simple1" qsCatId="simple" csTypeId="urn:microsoft.com/office/officeart/2005/8/colors/colorful1" csCatId="colorful" phldr="1"/>
      <dgm:spPr/>
    </dgm:pt>
    <dgm:pt modelId="{C0F49324-71D7-4130-8CE7-43B236698F79}">
      <dgm:prSet phldrT="[Texto]" custT="1"/>
      <dgm:spPr/>
      <dgm:t>
        <a:bodyPr/>
        <a:lstStyle/>
        <a:p>
          <a:r>
            <a:rPr lang="es-ES" sz="1200" b="1"/>
            <a:t>Reunión de Inicio "Todos con la Obra"</a:t>
          </a:r>
        </a:p>
      </dgm:t>
    </dgm:pt>
    <dgm:pt modelId="{5AD9834D-8A48-4110-9A72-A7B436FFE4B5}" type="parTrans" cxnId="{B17D9FDC-6356-40C8-BFCF-8D5872F40AA2}">
      <dgm:prSet/>
      <dgm:spPr/>
      <dgm:t>
        <a:bodyPr/>
        <a:lstStyle/>
        <a:p>
          <a:endParaRPr lang="es-ES" sz="3600"/>
        </a:p>
      </dgm:t>
    </dgm:pt>
    <dgm:pt modelId="{82057D05-2DE3-4C14-B5DD-0F52763947BD}" type="sibTrans" cxnId="{B17D9FDC-6356-40C8-BFCF-8D5872F40AA2}">
      <dgm:prSet/>
      <dgm:spPr/>
      <dgm:t>
        <a:bodyPr/>
        <a:lstStyle/>
        <a:p>
          <a:endParaRPr lang="es-ES" sz="3600"/>
        </a:p>
      </dgm:t>
    </dgm:pt>
    <dgm:pt modelId="{E5E7F4DD-97C5-44CC-A37F-591C4253D8D9}">
      <dgm:prSet phldrT="[Texto]" custT="1"/>
      <dgm:spPr/>
      <dgm:t>
        <a:bodyPr/>
        <a:lstStyle/>
        <a:p>
          <a:r>
            <a:rPr lang="es-ES" sz="1200" b="1"/>
            <a:t>Taller Pedagógico "Mi Barrio, Hábitat de Todos"</a:t>
          </a:r>
        </a:p>
      </dgm:t>
    </dgm:pt>
    <dgm:pt modelId="{D6105735-1200-4685-820A-3B9A5CFD83E7}" type="parTrans" cxnId="{EFC13E9C-71BA-4F81-AF1C-E101CEA3A026}">
      <dgm:prSet/>
      <dgm:spPr/>
      <dgm:t>
        <a:bodyPr/>
        <a:lstStyle/>
        <a:p>
          <a:endParaRPr lang="es-ES" sz="3600"/>
        </a:p>
      </dgm:t>
    </dgm:pt>
    <dgm:pt modelId="{CB6ECE5D-B894-4269-8D9F-4C03981EF5EC}" type="sibTrans" cxnId="{EFC13E9C-71BA-4F81-AF1C-E101CEA3A026}">
      <dgm:prSet/>
      <dgm:spPr/>
      <dgm:t>
        <a:bodyPr/>
        <a:lstStyle/>
        <a:p>
          <a:endParaRPr lang="es-ES" sz="3600"/>
        </a:p>
      </dgm:t>
    </dgm:pt>
    <dgm:pt modelId="{C75BD190-135A-4CA2-B31E-A10C6FCD16CA}">
      <dgm:prSet phldrT="[Texto]" custT="1"/>
      <dgm:spPr/>
      <dgm:t>
        <a:bodyPr/>
        <a:lstStyle/>
        <a:p>
          <a:r>
            <a:rPr lang="es-ES" sz="1200" b="1"/>
            <a:t>Reunión Extraordinaria -Seguridad en Obra-</a:t>
          </a:r>
        </a:p>
      </dgm:t>
    </dgm:pt>
    <dgm:pt modelId="{A076C157-4EF5-42F8-A4E8-17FB8C063D0F}" type="parTrans" cxnId="{12FB663B-41E6-4C54-92C3-44DFB44A3B78}">
      <dgm:prSet/>
      <dgm:spPr/>
      <dgm:t>
        <a:bodyPr/>
        <a:lstStyle/>
        <a:p>
          <a:endParaRPr lang="es-ES" sz="3600"/>
        </a:p>
      </dgm:t>
    </dgm:pt>
    <dgm:pt modelId="{7B342620-62EA-4DE2-98C1-590168A82E39}" type="sibTrans" cxnId="{12FB663B-41E6-4C54-92C3-44DFB44A3B78}">
      <dgm:prSet/>
      <dgm:spPr/>
      <dgm:t>
        <a:bodyPr/>
        <a:lstStyle/>
        <a:p>
          <a:endParaRPr lang="es-ES" sz="3600"/>
        </a:p>
      </dgm:t>
    </dgm:pt>
    <dgm:pt modelId="{9B1458CC-41D6-4FB0-957E-6E5DCCA83AC0}">
      <dgm:prSet phldrT="[Texto]" custT="1"/>
      <dgm:spPr/>
      <dgm:t>
        <a:bodyPr/>
        <a:lstStyle/>
        <a:p>
          <a:r>
            <a:rPr lang="es-ES" sz="1200" b="1"/>
            <a:t>Comites de Veeduría</a:t>
          </a:r>
        </a:p>
      </dgm:t>
    </dgm:pt>
    <dgm:pt modelId="{6136DC07-20B4-4B29-9DCD-DF3207E1322D}" type="parTrans" cxnId="{16FCD893-C284-405E-BD1E-6D00137FFAE5}">
      <dgm:prSet/>
      <dgm:spPr/>
      <dgm:t>
        <a:bodyPr/>
        <a:lstStyle/>
        <a:p>
          <a:endParaRPr lang="es-ES" sz="3600"/>
        </a:p>
      </dgm:t>
    </dgm:pt>
    <dgm:pt modelId="{DB02B078-716A-47DE-B2CE-5124871DE60F}" type="sibTrans" cxnId="{16FCD893-C284-405E-BD1E-6D00137FFAE5}">
      <dgm:prSet/>
      <dgm:spPr/>
      <dgm:t>
        <a:bodyPr/>
        <a:lstStyle/>
        <a:p>
          <a:endParaRPr lang="es-ES" sz="3600"/>
        </a:p>
      </dgm:t>
    </dgm:pt>
    <dgm:pt modelId="{1F24F143-468E-48FD-BE46-62C2E6AD5A0B}" type="pres">
      <dgm:prSet presAssocID="{368DFC12-7382-4911-9D8C-2CDE5AE50228}" presName="CompostProcess" presStyleCnt="0">
        <dgm:presLayoutVars>
          <dgm:dir/>
          <dgm:resizeHandles val="exact"/>
        </dgm:presLayoutVars>
      </dgm:prSet>
      <dgm:spPr/>
    </dgm:pt>
    <dgm:pt modelId="{BF10253A-8813-41D5-84A5-BCD4899D5E63}" type="pres">
      <dgm:prSet presAssocID="{368DFC12-7382-4911-9D8C-2CDE5AE50228}" presName="arrow" presStyleLbl="bgShp" presStyleIdx="0" presStyleCnt="1"/>
      <dgm:spPr>
        <a:solidFill>
          <a:schemeClr val="accent2">
            <a:lumMod val="40000"/>
            <a:lumOff val="60000"/>
          </a:schemeClr>
        </a:solidFill>
      </dgm:spPr>
    </dgm:pt>
    <dgm:pt modelId="{BD0F6229-9B20-4715-BB81-F34E61FE4167}" type="pres">
      <dgm:prSet presAssocID="{368DFC12-7382-4911-9D8C-2CDE5AE50228}" presName="linearProcess" presStyleCnt="0"/>
      <dgm:spPr/>
    </dgm:pt>
    <dgm:pt modelId="{B2A43B56-2315-4D45-BCEA-060F18317704}" type="pres">
      <dgm:prSet presAssocID="{C0F49324-71D7-4130-8CE7-43B236698F79}" presName="textNode" presStyleLbl="node1" presStyleIdx="0" presStyleCnt="4">
        <dgm:presLayoutVars>
          <dgm:bulletEnabled val="1"/>
        </dgm:presLayoutVars>
      </dgm:prSet>
      <dgm:spPr/>
    </dgm:pt>
    <dgm:pt modelId="{E712782A-73BF-4FAE-8D08-3724E351D341}" type="pres">
      <dgm:prSet presAssocID="{82057D05-2DE3-4C14-B5DD-0F52763947BD}" presName="sibTrans" presStyleCnt="0"/>
      <dgm:spPr/>
    </dgm:pt>
    <dgm:pt modelId="{964870DB-EFBC-4B5A-B5FB-4B55B985FD02}" type="pres">
      <dgm:prSet presAssocID="{E5E7F4DD-97C5-44CC-A37F-591C4253D8D9}" presName="textNode" presStyleLbl="node1" presStyleIdx="1" presStyleCnt="4">
        <dgm:presLayoutVars>
          <dgm:bulletEnabled val="1"/>
        </dgm:presLayoutVars>
      </dgm:prSet>
      <dgm:spPr/>
    </dgm:pt>
    <dgm:pt modelId="{6CDD4B24-E3E2-4EB9-AB4D-E316B7644629}" type="pres">
      <dgm:prSet presAssocID="{CB6ECE5D-B894-4269-8D9F-4C03981EF5EC}" presName="sibTrans" presStyleCnt="0"/>
      <dgm:spPr/>
    </dgm:pt>
    <dgm:pt modelId="{2EFAD29F-9FC6-4D82-8642-3AE597FDC324}" type="pres">
      <dgm:prSet presAssocID="{C75BD190-135A-4CA2-B31E-A10C6FCD16CA}" presName="textNode" presStyleLbl="node1" presStyleIdx="2" presStyleCnt="4">
        <dgm:presLayoutVars>
          <dgm:bulletEnabled val="1"/>
        </dgm:presLayoutVars>
      </dgm:prSet>
      <dgm:spPr/>
    </dgm:pt>
    <dgm:pt modelId="{87429E52-FE70-405E-A1D3-459911E0683A}" type="pres">
      <dgm:prSet presAssocID="{7B342620-62EA-4DE2-98C1-590168A82E39}" presName="sibTrans" presStyleCnt="0"/>
      <dgm:spPr/>
    </dgm:pt>
    <dgm:pt modelId="{94BF60AB-168B-4B23-BEEB-B7986DC70BF8}" type="pres">
      <dgm:prSet presAssocID="{9B1458CC-41D6-4FB0-957E-6E5DCCA83AC0}" presName="textNode" presStyleLbl="node1" presStyleIdx="3" presStyleCnt="4">
        <dgm:presLayoutVars>
          <dgm:bulletEnabled val="1"/>
        </dgm:presLayoutVars>
      </dgm:prSet>
      <dgm:spPr/>
    </dgm:pt>
  </dgm:ptLst>
  <dgm:cxnLst>
    <dgm:cxn modelId="{12FB663B-41E6-4C54-92C3-44DFB44A3B78}" srcId="{368DFC12-7382-4911-9D8C-2CDE5AE50228}" destId="{C75BD190-135A-4CA2-B31E-A10C6FCD16CA}" srcOrd="2" destOrd="0" parTransId="{A076C157-4EF5-42F8-A4E8-17FB8C063D0F}" sibTransId="{7B342620-62EA-4DE2-98C1-590168A82E39}"/>
    <dgm:cxn modelId="{7E9D115F-6DB4-469B-B46B-797BF8B21F81}" type="presOf" srcId="{C0F49324-71D7-4130-8CE7-43B236698F79}" destId="{B2A43B56-2315-4D45-BCEA-060F18317704}" srcOrd="0" destOrd="0" presId="urn:microsoft.com/office/officeart/2005/8/layout/hProcess9"/>
    <dgm:cxn modelId="{2976CB46-C8DD-49E5-B66B-7512BF3FAC75}" type="presOf" srcId="{9B1458CC-41D6-4FB0-957E-6E5DCCA83AC0}" destId="{94BF60AB-168B-4B23-BEEB-B7986DC70BF8}" srcOrd="0" destOrd="0" presId="urn:microsoft.com/office/officeart/2005/8/layout/hProcess9"/>
    <dgm:cxn modelId="{B5272954-5629-49F0-A4DF-664D9BCA833C}" type="presOf" srcId="{E5E7F4DD-97C5-44CC-A37F-591C4253D8D9}" destId="{964870DB-EFBC-4B5A-B5FB-4B55B985FD02}" srcOrd="0" destOrd="0" presId="urn:microsoft.com/office/officeart/2005/8/layout/hProcess9"/>
    <dgm:cxn modelId="{1CA5CE7F-0F39-4081-B84B-2C494EDFE53B}" type="presOf" srcId="{368DFC12-7382-4911-9D8C-2CDE5AE50228}" destId="{1F24F143-468E-48FD-BE46-62C2E6AD5A0B}" srcOrd="0" destOrd="0" presId="urn:microsoft.com/office/officeart/2005/8/layout/hProcess9"/>
    <dgm:cxn modelId="{5185D881-9631-4E2A-ABF1-20A735EFD626}" type="presOf" srcId="{C75BD190-135A-4CA2-B31E-A10C6FCD16CA}" destId="{2EFAD29F-9FC6-4D82-8642-3AE597FDC324}" srcOrd="0" destOrd="0" presId="urn:microsoft.com/office/officeart/2005/8/layout/hProcess9"/>
    <dgm:cxn modelId="{16FCD893-C284-405E-BD1E-6D00137FFAE5}" srcId="{368DFC12-7382-4911-9D8C-2CDE5AE50228}" destId="{9B1458CC-41D6-4FB0-957E-6E5DCCA83AC0}" srcOrd="3" destOrd="0" parTransId="{6136DC07-20B4-4B29-9DCD-DF3207E1322D}" sibTransId="{DB02B078-716A-47DE-B2CE-5124871DE60F}"/>
    <dgm:cxn modelId="{EFC13E9C-71BA-4F81-AF1C-E101CEA3A026}" srcId="{368DFC12-7382-4911-9D8C-2CDE5AE50228}" destId="{E5E7F4DD-97C5-44CC-A37F-591C4253D8D9}" srcOrd="1" destOrd="0" parTransId="{D6105735-1200-4685-820A-3B9A5CFD83E7}" sibTransId="{CB6ECE5D-B894-4269-8D9F-4C03981EF5EC}"/>
    <dgm:cxn modelId="{B17D9FDC-6356-40C8-BFCF-8D5872F40AA2}" srcId="{368DFC12-7382-4911-9D8C-2CDE5AE50228}" destId="{C0F49324-71D7-4130-8CE7-43B236698F79}" srcOrd="0" destOrd="0" parTransId="{5AD9834D-8A48-4110-9A72-A7B436FFE4B5}" sibTransId="{82057D05-2DE3-4C14-B5DD-0F52763947BD}"/>
    <dgm:cxn modelId="{7CD39C58-4715-478D-9FB9-B7697515E6F8}" type="presParOf" srcId="{1F24F143-468E-48FD-BE46-62C2E6AD5A0B}" destId="{BF10253A-8813-41D5-84A5-BCD4899D5E63}" srcOrd="0" destOrd="0" presId="urn:microsoft.com/office/officeart/2005/8/layout/hProcess9"/>
    <dgm:cxn modelId="{D4D4D291-16CD-4470-8087-D7087E716BC9}" type="presParOf" srcId="{1F24F143-468E-48FD-BE46-62C2E6AD5A0B}" destId="{BD0F6229-9B20-4715-BB81-F34E61FE4167}" srcOrd="1" destOrd="0" presId="urn:microsoft.com/office/officeart/2005/8/layout/hProcess9"/>
    <dgm:cxn modelId="{4A41C090-4409-463D-94CA-957D2046A735}" type="presParOf" srcId="{BD0F6229-9B20-4715-BB81-F34E61FE4167}" destId="{B2A43B56-2315-4D45-BCEA-060F18317704}" srcOrd="0" destOrd="0" presId="urn:microsoft.com/office/officeart/2005/8/layout/hProcess9"/>
    <dgm:cxn modelId="{DD864F12-B642-435A-B28C-99CB58643061}" type="presParOf" srcId="{BD0F6229-9B20-4715-BB81-F34E61FE4167}" destId="{E712782A-73BF-4FAE-8D08-3724E351D341}" srcOrd="1" destOrd="0" presId="urn:microsoft.com/office/officeart/2005/8/layout/hProcess9"/>
    <dgm:cxn modelId="{8A745622-B8EC-43C0-AE55-97FABA8CA1E9}" type="presParOf" srcId="{BD0F6229-9B20-4715-BB81-F34E61FE4167}" destId="{964870DB-EFBC-4B5A-B5FB-4B55B985FD02}" srcOrd="2" destOrd="0" presId="urn:microsoft.com/office/officeart/2005/8/layout/hProcess9"/>
    <dgm:cxn modelId="{9755ED3C-40AE-47D3-873E-087E3A8BA653}" type="presParOf" srcId="{BD0F6229-9B20-4715-BB81-F34E61FE4167}" destId="{6CDD4B24-E3E2-4EB9-AB4D-E316B7644629}" srcOrd="3" destOrd="0" presId="urn:microsoft.com/office/officeart/2005/8/layout/hProcess9"/>
    <dgm:cxn modelId="{28C85412-2A93-474A-BF4F-22D9591346CB}" type="presParOf" srcId="{BD0F6229-9B20-4715-BB81-F34E61FE4167}" destId="{2EFAD29F-9FC6-4D82-8642-3AE597FDC324}" srcOrd="4" destOrd="0" presId="urn:microsoft.com/office/officeart/2005/8/layout/hProcess9"/>
    <dgm:cxn modelId="{478E493A-1612-4185-A9D1-38E1F1039F8D}" type="presParOf" srcId="{BD0F6229-9B20-4715-BB81-F34E61FE4167}" destId="{87429E52-FE70-405E-A1D3-459911E0683A}" srcOrd="5" destOrd="0" presId="urn:microsoft.com/office/officeart/2005/8/layout/hProcess9"/>
    <dgm:cxn modelId="{8F44EE9C-8697-419D-9E76-F7894EB187B2}" type="presParOf" srcId="{BD0F6229-9B20-4715-BB81-F34E61FE4167}" destId="{94BF60AB-168B-4B23-BEEB-B7986DC70BF8}" srcOrd="6" destOrd="0" presId="urn:microsoft.com/office/officeart/2005/8/layout/hProcess9"/>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7799100-5913-4B5B-B1D3-D92F84700311}" type="doc">
      <dgm:prSet loTypeId="urn:microsoft.com/office/officeart/2005/8/layout/cycle6" loCatId="cycle" qsTypeId="urn:microsoft.com/office/officeart/2005/8/quickstyle/simple1" qsCatId="simple" csTypeId="urn:microsoft.com/office/officeart/2005/8/colors/colorful1" csCatId="colorful" phldr="1"/>
      <dgm:spPr/>
      <dgm:t>
        <a:bodyPr/>
        <a:lstStyle/>
        <a:p>
          <a:endParaRPr lang="es-ES"/>
        </a:p>
      </dgm:t>
    </dgm:pt>
    <dgm:pt modelId="{9486E43C-3920-4B42-A679-28F09D662D36}">
      <dgm:prSet phldrT="[Texto]" custT="1"/>
      <dgm:spPr/>
      <dgm:t>
        <a:bodyPr/>
        <a:lstStyle/>
        <a:p>
          <a:pPr algn="ctr"/>
          <a:r>
            <a:rPr lang="es-ES" sz="1200" b="1"/>
            <a:t>Tres Reyes</a:t>
          </a:r>
        </a:p>
      </dgm:t>
    </dgm:pt>
    <dgm:pt modelId="{6CFDA16C-E90E-4761-9A81-FA64558FB1DD}" type="parTrans" cxnId="{15DD7E1B-F704-4CBD-AA09-1AB2FDA9B856}">
      <dgm:prSet/>
      <dgm:spPr/>
      <dgm:t>
        <a:bodyPr/>
        <a:lstStyle/>
        <a:p>
          <a:pPr algn="ctr"/>
          <a:endParaRPr lang="es-ES" sz="2800"/>
        </a:p>
      </dgm:t>
    </dgm:pt>
    <dgm:pt modelId="{40395119-868E-4D97-ABF1-745CAC5A52D5}" type="sibTrans" cxnId="{15DD7E1B-F704-4CBD-AA09-1AB2FDA9B856}">
      <dgm:prSet/>
      <dgm:spPr/>
      <dgm:t>
        <a:bodyPr/>
        <a:lstStyle/>
        <a:p>
          <a:pPr algn="ctr"/>
          <a:endParaRPr lang="es-ES" sz="2800"/>
        </a:p>
      </dgm:t>
    </dgm:pt>
    <dgm:pt modelId="{9CE768E4-CB09-4A0E-B3D6-DB1D1E29370B}">
      <dgm:prSet phldrT="[Texto]" custT="1"/>
      <dgm:spPr/>
      <dgm:t>
        <a:bodyPr/>
        <a:lstStyle/>
        <a:p>
          <a:pPr algn="ctr"/>
          <a:r>
            <a:rPr lang="es-ES" sz="1200" b="1"/>
            <a:t>Ramajal</a:t>
          </a:r>
        </a:p>
      </dgm:t>
    </dgm:pt>
    <dgm:pt modelId="{26F4473E-FD78-4949-8252-0AB63D21EF72}" type="parTrans" cxnId="{AF66E1B6-155F-4E96-98A6-41F540E26E22}">
      <dgm:prSet/>
      <dgm:spPr/>
      <dgm:t>
        <a:bodyPr/>
        <a:lstStyle/>
        <a:p>
          <a:pPr algn="ctr"/>
          <a:endParaRPr lang="es-ES" sz="2800"/>
        </a:p>
      </dgm:t>
    </dgm:pt>
    <dgm:pt modelId="{24E85274-E0B5-4A88-849E-07DE3A0541F2}" type="sibTrans" cxnId="{AF66E1B6-155F-4E96-98A6-41F540E26E22}">
      <dgm:prSet/>
      <dgm:spPr/>
      <dgm:t>
        <a:bodyPr/>
        <a:lstStyle/>
        <a:p>
          <a:pPr algn="ctr"/>
          <a:endParaRPr lang="es-ES" sz="2800"/>
        </a:p>
      </dgm:t>
    </dgm:pt>
    <dgm:pt modelId="{9F277FC7-51EE-4AD1-B110-480B4E183984}">
      <dgm:prSet phldrT="[Texto]" custT="1"/>
      <dgm:spPr/>
      <dgm:t>
        <a:bodyPr/>
        <a:lstStyle/>
        <a:p>
          <a:pPr algn="ctr"/>
          <a:r>
            <a:rPr lang="es-ES" sz="1200" b="1"/>
            <a:t>El Espino</a:t>
          </a:r>
        </a:p>
      </dgm:t>
    </dgm:pt>
    <dgm:pt modelId="{8FC85CD8-B7A3-4AD3-9FD1-41E768D12F33}" type="parTrans" cxnId="{0132FBD7-CAD1-48FC-9FC9-15A2CF1ABB10}">
      <dgm:prSet/>
      <dgm:spPr/>
      <dgm:t>
        <a:bodyPr/>
        <a:lstStyle/>
        <a:p>
          <a:pPr algn="ctr"/>
          <a:endParaRPr lang="es-ES" sz="2800"/>
        </a:p>
      </dgm:t>
    </dgm:pt>
    <dgm:pt modelId="{549467CC-70CF-4AA9-9B25-AD134171E28F}" type="sibTrans" cxnId="{0132FBD7-CAD1-48FC-9FC9-15A2CF1ABB10}">
      <dgm:prSet/>
      <dgm:spPr/>
      <dgm:t>
        <a:bodyPr/>
        <a:lstStyle/>
        <a:p>
          <a:pPr algn="ctr"/>
          <a:endParaRPr lang="es-ES" sz="2800"/>
        </a:p>
      </dgm:t>
    </dgm:pt>
    <dgm:pt modelId="{0544CF85-A9A7-43AA-9C15-3BC7C2C06A22}">
      <dgm:prSet phldrT="[Texto]" custT="1"/>
      <dgm:spPr/>
      <dgm:t>
        <a:bodyPr/>
        <a:lstStyle/>
        <a:p>
          <a:pPr algn="ctr"/>
          <a:r>
            <a:rPr lang="es-ES" sz="1200" b="1"/>
            <a:t>Islandia</a:t>
          </a:r>
        </a:p>
      </dgm:t>
    </dgm:pt>
    <dgm:pt modelId="{3455DD8D-0870-4917-8962-A78DAC02AF1B}" type="parTrans" cxnId="{63E96CA9-4206-409B-847D-047D626B04DB}">
      <dgm:prSet/>
      <dgm:spPr/>
      <dgm:t>
        <a:bodyPr/>
        <a:lstStyle/>
        <a:p>
          <a:pPr algn="ctr"/>
          <a:endParaRPr lang="es-ES" sz="2800"/>
        </a:p>
      </dgm:t>
    </dgm:pt>
    <dgm:pt modelId="{EA43B3DD-455D-4056-8F5F-06E386E5117E}" type="sibTrans" cxnId="{63E96CA9-4206-409B-847D-047D626B04DB}">
      <dgm:prSet/>
      <dgm:spPr/>
      <dgm:t>
        <a:bodyPr/>
        <a:lstStyle/>
        <a:p>
          <a:pPr algn="ctr"/>
          <a:endParaRPr lang="es-ES" sz="2800"/>
        </a:p>
      </dgm:t>
    </dgm:pt>
    <dgm:pt modelId="{E1C8E81F-5A7A-4F54-B8A8-1B81C97209FD}">
      <dgm:prSet phldrT="[Texto]" custT="1"/>
      <dgm:spPr/>
      <dgm:t>
        <a:bodyPr/>
        <a:lstStyle/>
        <a:p>
          <a:r>
            <a:rPr lang="es-ES" sz="1200" b="1"/>
            <a:t>Juan jose rendon</a:t>
          </a:r>
        </a:p>
      </dgm:t>
    </dgm:pt>
    <dgm:pt modelId="{E4CEF032-12A3-4362-BA66-A6452A3ED490}" type="parTrans" cxnId="{79392713-BCF3-496A-B1A1-EFA46E5B5495}">
      <dgm:prSet/>
      <dgm:spPr/>
      <dgm:t>
        <a:bodyPr/>
        <a:lstStyle/>
        <a:p>
          <a:endParaRPr lang="es-ES" sz="2800"/>
        </a:p>
      </dgm:t>
    </dgm:pt>
    <dgm:pt modelId="{D45E529A-2816-4670-85C5-3A2E2A18D108}" type="sibTrans" cxnId="{79392713-BCF3-496A-B1A1-EFA46E5B5495}">
      <dgm:prSet/>
      <dgm:spPr/>
      <dgm:t>
        <a:bodyPr/>
        <a:lstStyle/>
        <a:p>
          <a:endParaRPr lang="es-ES" sz="2800"/>
        </a:p>
      </dgm:t>
    </dgm:pt>
    <dgm:pt modelId="{BCF4AD30-BF9D-4210-A709-A074F3E8E15C}" type="pres">
      <dgm:prSet presAssocID="{D7799100-5913-4B5B-B1D3-D92F84700311}" presName="cycle" presStyleCnt="0">
        <dgm:presLayoutVars>
          <dgm:dir/>
          <dgm:resizeHandles val="exact"/>
        </dgm:presLayoutVars>
      </dgm:prSet>
      <dgm:spPr/>
    </dgm:pt>
    <dgm:pt modelId="{29244CC7-4CFE-4061-82B9-82B7CBFD71DC}" type="pres">
      <dgm:prSet presAssocID="{9486E43C-3920-4B42-A679-28F09D662D36}" presName="node" presStyleLbl="node1" presStyleIdx="0" presStyleCnt="5">
        <dgm:presLayoutVars>
          <dgm:bulletEnabled val="1"/>
        </dgm:presLayoutVars>
      </dgm:prSet>
      <dgm:spPr/>
    </dgm:pt>
    <dgm:pt modelId="{3428A2BA-3602-406C-947F-9771179888D9}" type="pres">
      <dgm:prSet presAssocID="{9486E43C-3920-4B42-A679-28F09D662D36}" presName="spNode" presStyleCnt="0"/>
      <dgm:spPr/>
    </dgm:pt>
    <dgm:pt modelId="{E498BF95-66E0-4EE3-8136-4E6A7DA0E801}" type="pres">
      <dgm:prSet presAssocID="{40395119-868E-4D97-ABF1-745CAC5A52D5}" presName="sibTrans" presStyleLbl="sibTrans1D1" presStyleIdx="0" presStyleCnt="5"/>
      <dgm:spPr/>
    </dgm:pt>
    <dgm:pt modelId="{6853A272-8632-46C9-A78E-A271771F3BE8}" type="pres">
      <dgm:prSet presAssocID="{9CE768E4-CB09-4A0E-B3D6-DB1D1E29370B}" presName="node" presStyleLbl="node1" presStyleIdx="1" presStyleCnt="5">
        <dgm:presLayoutVars>
          <dgm:bulletEnabled val="1"/>
        </dgm:presLayoutVars>
      </dgm:prSet>
      <dgm:spPr/>
    </dgm:pt>
    <dgm:pt modelId="{E993A2B8-2748-492E-BB58-8E2492530F46}" type="pres">
      <dgm:prSet presAssocID="{9CE768E4-CB09-4A0E-B3D6-DB1D1E29370B}" presName="spNode" presStyleCnt="0"/>
      <dgm:spPr/>
    </dgm:pt>
    <dgm:pt modelId="{DE8D52C3-B11D-4D77-BAAC-294D3799DB3E}" type="pres">
      <dgm:prSet presAssocID="{24E85274-E0B5-4A88-849E-07DE3A0541F2}" presName="sibTrans" presStyleLbl="sibTrans1D1" presStyleIdx="1" presStyleCnt="5"/>
      <dgm:spPr/>
    </dgm:pt>
    <dgm:pt modelId="{53B6B8E3-F57E-43F1-92C6-4A9DC3C75657}" type="pres">
      <dgm:prSet presAssocID="{E1C8E81F-5A7A-4F54-B8A8-1B81C97209FD}" presName="node" presStyleLbl="node1" presStyleIdx="2" presStyleCnt="5" custScaleX="121832">
        <dgm:presLayoutVars>
          <dgm:bulletEnabled val="1"/>
        </dgm:presLayoutVars>
      </dgm:prSet>
      <dgm:spPr/>
    </dgm:pt>
    <dgm:pt modelId="{030ECA98-1687-41DE-A7C8-77EE2E4D66FB}" type="pres">
      <dgm:prSet presAssocID="{E1C8E81F-5A7A-4F54-B8A8-1B81C97209FD}" presName="spNode" presStyleCnt="0"/>
      <dgm:spPr/>
    </dgm:pt>
    <dgm:pt modelId="{938DDE6E-6CE4-4D96-8D39-6CD400F51B50}" type="pres">
      <dgm:prSet presAssocID="{D45E529A-2816-4670-85C5-3A2E2A18D108}" presName="sibTrans" presStyleLbl="sibTrans1D1" presStyleIdx="2" presStyleCnt="5"/>
      <dgm:spPr/>
    </dgm:pt>
    <dgm:pt modelId="{B484091A-200E-437E-8422-8EEE8FF69EDB}" type="pres">
      <dgm:prSet presAssocID="{9F277FC7-51EE-4AD1-B110-480B4E183984}" presName="node" presStyleLbl="node1" presStyleIdx="3" presStyleCnt="5">
        <dgm:presLayoutVars>
          <dgm:bulletEnabled val="1"/>
        </dgm:presLayoutVars>
      </dgm:prSet>
      <dgm:spPr/>
    </dgm:pt>
    <dgm:pt modelId="{0BAA9D87-3661-4D4B-AB65-F68972446B81}" type="pres">
      <dgm:prSet presAssocID="{9F277FC7-51EE-4AD1-B110-480B4E183984}" presName="spNode" presStyleCnt="0"/>
      <dgm:spPr/>
    </dgm:pt>
    <dgm:pt modelId="{C54F68C8-60D1-4440-93AD-19DE2A2B3F0D}" type="pres">
      <dgm:prSet presAssocID="{549467CC-70CF-4AA9-9B25-AD134171E28F}" presName="sibTrans" presStyleLbl="sibTrans1D1" presStyleIdx="3" presStyleCnt="5"/>
      <dgm:spPr/>
    </dgm:pt>
    <dgm:pt modelId="{C8CB8BB1-E7F1-4285-91F7-AE449526A4B4}" type="pres">
      <dgm:prSet presAssocID="{0544CF85-A9A7-43AA-9C15-3BC7C2C06A22}" presName="node" presStyleLbl="node1" presStyleIdx="4" presStyleCnt="5">
        <dgm:presLayoutVars>
          <dgm:bulletEnabled val="1"/>
        </dgm:presLayoutVars>
      </dgm:prSet>
      <dgm:spPr/>
    </dgm:pt>
    <dgm:pt modelId="{84492393-9561-45E1-B312-62011C808775}" type="pres">
      <dgm:prSet presAssocID="{0544CF85-A9A7-43AA-9C15-3BC7C2C06A22}" presName="spNode" presStyleCnt="0"/>
      <dgm:spPr/>
    </dgm:pt>
    <dgm:pt modelId="{68BB4121-D68C-458B-8E7C-15A19634D68E}" type="pres">
      <dgm:prSet presAssocID="{EA43B3DD-455D-4056-8F5F-06E386E5117E}" presName="sibTrans" presStyleLbl="sibTrans1D1" presStyleIdx="4" presStyleCnt="5"/>
      <dgm:spPr/>
    </dgm:pt>
  </dgm:ptLst>
  <dgm:cxnLst>
    <dgm:cxn modelId="{CC612112-438D-429D-949D-71A606F4B8C3}" type="presOf" srcId="{0544CF85-A9A7-43AA-9C15-3BC7C2C06A22}" destId="{C8CB8BB1-E7F1-4285-91F7-AE449526A4B4}" srcOrd="0" destOrd="0" presId="urn:microsoft.com/office/officeart/2005/8/layout/cycle6"/>
    <dgm:cxn modelId="{79392713-BCF3-496A-B1A1-EFA46E5B5495}" srcId="{D7799100-5913-4B5B-B1D3-D92F84700311}" destId="{E1C8E81F-5A7A-4F54-B8A8-1B81C97209FD}" srcOrd="2" destOrd="0" parTransId="{E4CEF032-12A3-4362-BA66-A6452A3ED490}" sibTransId="{D45E529A-2816-4670-85C5-3A2E2A18D108}"/>
    <dgm:cxn modelId="{15DD7E1B-F704-4CBD-AA09-1AB2FDA9B856}" srcId="{D7799100-5913-4B5B-B1D3-D92F84700311}" destId="{9486E43C-3920-4B42-A679-28F09D662D36}" srcOrd="0" destOrd="0" parTransId="{6CFDA16C-E90E-4761-9A81-FA64558FB1DD}" sibTransId="{40395119-868E-4D97-ABF1-745CAC5A52D5}"/>
    <dgm:cxn modelId="{44B58F20-270B-440B-B0AD-95C7C2679F65}" type="presOf" srcId="{40395119-868E-4D97-ABF1-745CAC5A52D5}" destId="{E498BF95-66E0-4EE3-8136-4E6A7DA0E801}" srcOrd="0" destOrd="0" presId="urn:microsoft.com/office/officeart/2005/8/layout/cycle6"/>
    <dgm:cxn modelId="{07F2EA26-ABDA-4E9A-A690-E0F8D08951B8}" type="presOf" srcId="{EA43B3DD-455D-4056-8F5F-06E386E5117E}" destId="{68BB4121-D68C-458B-8E7C-15A19634D68E}" srcOrd="0" destOrd="0" presId="urn:microsoft.com/office/officeart/2005/8/layout/cycle6"/>
    <dgm:cxn modelId="{42F88030-BB0D-4762-AB8C-8856D29E6609}" type="presOf" srcId="{9F277FC7-51EE-4AD1-B110-480B4E183984}" destId="{B484091A-200E-437E-8422-8EEE8FF69EDB}" srcOrd="0" destOrd="0" presId="urn:microsoft.com/office/officeart/2005/8/layout/cycle6"/>
    <dgm:cxn modelId="{8525DA46-220E-44EC-940F-04D1CBF4568C}" type="presOf" srcId="{24E85274-E0B5-4A88-849E-07DE3A0541F2}" destId="{DE8D52C3-B11D-4D77-BAAC-294D3799DB3E}" srcOrd="0" destOrd="0" presId="urn:microsoft.com/office/officeart/2005/8/layout/cycle6"/>
    <dgm:cxn modelId="{4F4B5276-FFF1-45D9-B02C-E8B16C6D0463}" type="presOf" srcId="{D45E529A-2816-4670-85C5-3A2E2A18D108}" destId="{938DDE6E-6CE4-4D96-8D39-6CD400F51B50}" srcOrd="0" destOrd="0" presId="urn:microsoft.com/office/officeart/2005/8/layout/cycle6"/>
    <dgm:cxn modelId="{A54FDA85-22F3-44E9-B606-2E64904D30BA}" type="presOf" srcId="{9486E43C-3920-4B42-A679-28F09D662D36}" destId="{29244CC7-4CFE-4061-82B9-82B7CBFD71DC}" srcOrd="0" destOrd="0" presId="urn:microsoft.com/office/officeart/2005/8/layout/cycle6"/>
    <dgm:cxn modelId="{36094A9B-DEF5-4309-A5F8-1FBDEF1BE03F}" type="presOf" srcId="{D7799100-5913-4B5B-B1D3-D92F84700311}" destId="{BCF4AD30-BF9D-4210-A709-A074F3E8E15C}" srcOrd="0" destOrd="0" presId="urn:microsoft.com/office/officeart/2005/8/layout/cycle6"/>
    <dgm:cxn modelId="{C213E9A0-64AE-4B21-8F45-839497C13CF0}" type="presOf" srcId="{9CE768E4-CB09-4A0E-B3D6-DB1D1E29370B}" destId="{6853A272-8632-46C9-A78E-A271771F3BE8}" srcOrd="0" destOrd="0" presId="urn:microsoft.com/office/officeart/2005/8/layout/cycle6"/>
    <dgm:cxn modelId="{63E96CA9-4206-409B-847D-047D626B04DB}" srcId="{D7799100-5913-4B5B-B1D3-D92F84700311}" destId="{0544CF85-A9A7-43AA-9C15-3BC7C2C06A22}" srcOrd="4" destOrd="0" parTransId="{3455DD8D-0870-4917-8962-A78DAC02AF1B}" sibTransId="{EA43B3DD-455D-4056-8F5F-06E386E5117E}"/>
    <dgm:cxn modelId="{AF66E1B6-155F-4E96-98A6-41F540E26E22}" srcId="{D7799100-5913-4B5B-B1D3-D92F84700311}" destId="{9CE768E4-CB09-4A0E-B3D6-DB1D1E29370B}" srcOrd="1" destOrd="0" parTransId="{26F4473E-FD78-4949-8252-0AB63D21EF72}" sibTransId="{24E85274-E0B5-4A88-849E-07DE3A0541F2}"/>
    <dgm:cxn modelId="{0132FBD7-CAD1-48FC-9FC9-15A2CF1ABB10}" srcId="{D7799100-5913-4B5B-B1D3-D92F84700311}" destId="{9F277FC7-51EE-4AD1-B110-480B4E183984}" srcOrd="3" destOrd="0" parTransId="{8FC85CD8-B7A3-4AD3-9FD1-41E768D12F33}" sibTransId="{549467CC-70CF-4AA9-9B25-AD134171E28F}"/>
    <dgm:cxn modelId="{B08E42E4-D541-4845-87F8-706A15757E5B}" type="presOf" srcId="{549467CC-70CF-4AA9-9B25-AD134171E28F}" destId="{C54F68C8-60D1-4440-93AD-19DE2A2B3F0D}" srcOrd="0" destOrd="0" presId="urn:microsoft.com/office/officeart/2005/8/layout/cycle6"/>
    <dgm:cxn modelId="{6588BAF2-4E0F-4581-91F0-104E7C601D30}" type="presOf" srcId="{E1C8E81F-5A7A-4F54-B8A8-1B81C97209FD}" destId="{53B6B8E3-F57E-43F1-92C6-4A9DC3C75657}" srcOrd="0" destOrd="0" presId="urn:microsoft.com/office/officeart/2005/8/layout/cycle6"/>
    <dgm:cxn modelId="{8D0030EF-0024-4BAC-A868-E7BAEE49D7FC}" type="presParOf" srcId="{BCF4AD30-BF9D-4210-A709-A074F3E8E15C}" destId="{29244CC7-4CFE-4061-82B9-82B7CBFD71DC}" srcOrd="0" destOrd="0" presId="urn:microsoft.com/office/officeart/2005/8/layout/cycle6"/>
    <dgm:cxn modelId="{57131B79-89E7-4D46-9074-122230423368}" type="presParOf" srcId="{BCF4AD30-BF9D-4210-A709-A074F3E8E15C}" destId="{3428A2BA-3602-406C-947F-9771179888D9}" srcOrd="1" destOrd="0" presId="urn:microsoft.com/office/officeart/2005/8/layout/cycle6"/>
    <dgm:cxn modelId="{BD681695-2BFB-429B-A485-F149D38F729E}" type="presParOf" srcId="{BCF4AD30-BF9D-4210-A709-A074F3E8E15C}" destId="{E498BF95-66E0-4EE3-8136-4E6A7DA0E801}" srcOrd="2" destOrd="0" presId="urn:microsoft.com/office/officeart/2005/8/layout/cycle6"/>
    <dgm:cxn modelId="{4309603E-CB71-49DF-A074-80C08B05E63A}" type="presParOf" srcId="{BCF4AD30-BF9D-4210-A709-A074F3E8E15C}" destId="{6853A272-8632-46C9-A78E-A271771F3BE8}" srcOrd="3" destOrd="0" presId="urn:microsoft.com/office/officeart/2005/8/layout/cycle6"/>
    <dgm:cxn modelId="{05BB9C20-16D7-42C5-A8FC-017092825C75}" type="presParOf" srcId="{BCF4AD30-BF9D-4210-A709-A074F3E8E15C}" destId="{E993A2B8-2748-492E-BB58-8E2492530F46}" srcOrd="4" destOrd="0" presId="urn:microsoft.com/office/officeart/2005/8/layout/cycle6"/>
    <dgm:cxn modelId="{EE6DD9D2-C0D5-48AA-8492-0026BB70D61C}" type="presParOf" srcId="{BCF4AD30-BF9D-4210-A709-A074F3E8E15C}" destId="{DE8D52C3-B11D-4D77-BAAC-294D3799DB3E}" srcOrd="5" destOrd="0" presId="urn:microsoft.com/office/officeart/2005/8/layout/cycle6"/>
    <dgm:cxn modelId="{ACF70240-17C7-4488-8AEB-847D79859A75}" type="presParOf" srcId="{BCF4AD30-BF9D-4210-A709-A074F3E8E15C}" destId="{53B6B8E3-F57E-43F1-92C6-4A9DC3C75657}" srcOrd="6" destOrd="0" presId="urn:microsoft.com/office/officeart/2005/8/layout/cycle6"/>
    <dgm:cxn modelId="{4687F3FB-C99B-41D7-BBB5-965A0D72D35A}" type="presParOf" srcId="{BCF4AD30-BF9D-4210-A709-A074F3E8E15C}" destId="{030ECA98-1687-41DE-A7C8-77EE2E4D66FB}" srcOrd="7" destOrd="0" presId="urn:microsoft.com/office/officeart/2005/8/layout/cycle6"/>
    <dgm:cxn modelId="{337A47D9-DF39-4FCF-88A5-AF2B218B3660}" type="presParOf" srcId="{BCF4AD30-BF9D-4210-A709-A074F3E8E15C}" destId="{938DDE6E-6CE4-4D96-8D39-6CD400F51B50}" srcOrd="8" destOrd="0" presId="urn:microsoft.com/office/officeart/2005/8/layout/cycle6"/>
    <dgm:cxn modelId="{5596A78C-445F-4B9F-B0ED-7B85D258410C}" type="presParOf" srcId="{BCF4AD30-BF9D-4210-A709-A074F3E8E15C}" destId="{B484091A-200E-437E-8422-8EEE8FF69EDB}" srcOrd="9" destOrd="0" presId="urn:microsoft.com/office/officeart/2005/8/layout/cycle6"/>
    <dgm:cxn modelId="{5720A26F-E309-4C26-9D6D-B7DF1F88E480}" type="presParOf" srcId="{BCF4AD30-BF9D-4210-A709-A074F3E8E15C}" destId="{0BAA9D87-3661-4D4B-AB65-F68972446B81}" srcOrd="10" destOrd="0" presId="urn:microsoft.com/office/officeart/2005/8/layout/cycle6"/>
    <dgm:cxn modelId="{575F3813-F575-4222-B435-B5035C2A70C0}" type="presParOf" srcId="{BCF4AD30-BF9D-4210-A709-A074F3E8E15C}" destId="{C54F68C8-60D1-4440-93AD-19DE2A2B3F0D}" srcOrd="11" destOrd="0" presId="urn:microsoft.com/office/officeart/2005/8/layout/cycle6"/>
    <dgm:cxn modelId="{13B8956E-8A34-4F70-AD08-547DADE080A8}" type="presParOf" srcId="{BCF4AD30-BF9D-4210-A709-A074F3E8E15C}" destId="{C8CB8BB1-E7F1-4285-91F7-AE449526A4B4}" srcOrd="12" destOrd="0" presId="urn:microsoft.com/office/officeart/2005/8/layout/cycle6"/>
    <dgm:cxn modelId="{42EB0759-1518-43B3-85CF-01EA086466E0}" type="presParOf" srcId="{BCF4AD30-BF9D-4210-A709-A074F3E8E15C}" destId="{84492393-9561-45E1-B312-62011C808775}" srcOrd="13" destOrd="0" presId="urn:microsoft.com/office/officeart/2005/8/layout/cycle6"/>
    <dgm:cxn modelId="{13FB65D9-C087-4B66-9433-9458F940F3AB}" type="presParOf" srcId="{BCF4AD30-BF9D-4210-A709-A074F3E8E15C}" destId="{68BB4121-D68C-458B-8E7C-15A19634D68E}" srcOrd="14" destOrd="0" presId="urn:microsoft.com/office/officeart/2005/8/layout/cycle6"/>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6B17FFC-42E1-4C95-BB38-B3DF53DA520E}" type="doc">
      <dgm:prSet loTypeId="urn:microsoft.com/office/officeart/2005/8/layout/hProcess9" loCatId="process" qsTypeId="urn:microsoft.com/office/officeart/2005/8/quickstyle/simple1" qsCatId="simple" csTypeId="urn:microsoft.com/office/officeart/2005/8/colors/colorful5" csCatId="colorful" phldr="1"/>
      <dgm:spPr/>
    </dgm:pt>
    <dgm:pt modelId="{50B7FA8D-22CB-4F48-8D81-59E03CF2CEF2}">
      <dgm:prSet phldrT="[Texto]" custT="1"/>
      <dgm:spPr/>
      <dgm:t>
        <a:bodyPr/>
        <a:lstStyle/>
        <a:p>
          <a:pPr algn="ctr"/>
          <a:r>
            <a:rPr lang="es-ES" sz="1100" b="1"/>
            <a:t>Reunión de Inicio</a:t>
          </a:r>
        </a:p>
      </dgm:t>
    </dgm:pt>
    <dgm:pt modelId="{A5B4F547-D588-45F2-AA43-01B0718EB972}" type="parTrans" cxnId="{66453F07-579F-47DD-B8E1-F82EB0878200}">
      <dgm:prSet/>
      <dgm:spPr/>
      <dgm:t>
        <a:bodyPr/>
        <a:lstStyle/>
        <a:p>
          <a:pPr algn="ctr"/>
          <a:endParaRPr lang="es-ES"/>
        </a:p>
      </dgm:t>
    </dgm:pt>
    <dgm:pt modelId="{11EFEF9E-4435-460D-813E-597CB4974FD9}" type="sibTrans" cxnId="{66453F07-579F-47DD-B8E1-F82EB0878200}">
      <dgm:prSet/>
      <dgm:spPr/>
      <dgm:t>
        <a:bodyPr/>
        <a:lstStyle/>
        <a:p>
          <a:pPr algn="ctr"/>
          <a:endParaRPr lang="es-ES"/>
        </a:p>
      </dgm:t>
    </dgm:pt>
    <dgm:pt modelId="{ED95D39F-F348-439E-9650-902786CF2AD9}">
      <dgm:prSet phldrT="[Texto]" custT="1"/>
      <dgm:spPr/>
      <dgm:t>
        <a:bodyPr/>
        <a:lstStyle/>
        <a:p>
          <a:pPr algn="ctr"/>
          <a:r>
            <a:rPr lang="es-ES" sz="1100" b="1"/>
            <a:t>Comites de Veeduria</a:t>
          </a:r>
        </a:p>
      </dgm:t>
    </dgm:pt>
    <dgm:pt modelId="{39F27162-8BC6-41AB-8084-009F6669C78B}" type="parTrans" cxnId="{E263BFE6-5C5E-4D9B-BBFD-5B16F52DEC4F}">
      <dgm:prSet/>
      <dgm:spPr/>
      <dgm:t>
        <a:bodyPr/>
        <a:lstStyle/>
        <a:p>
          <a:pPr algn="ctr"/>
          <a:endParaRPr lang="es-ES"/>
        </a:p>
      </dgm:t>
    </dgm:pt>
    <dgm:pt modelId="{82DBEA11-DAEA-46B7-83E2-0EFCC1F11C10}" type="sibTrans" cxnId="{E263BFE6-5C5E-4D9B-BBFD-5B16F52DEC4F}">
      <dgm:prSet/>
      <dgm:spPr/>
      <dgm:t>
        <a:bodyPr/>
        <a:lstStyle/>
        <a:p>
          <a:pPr algn="ctr"/>
          <a:endParaRPr lang="es-ES"/>
        </a:p>
      </dgm:t>
    </dgm:pt>
    <dgm:pt modelId="{6E2EC47E-57C8-4987-A700-E2E19193D71F}">
      <dgm:prSet phldrT="[Texto]" custT="1"/>
      <dgm:spPr>
        <a:solidFill>
          <a:schemeClr val="accent6">
            <a:lumMod val="75000"/>
          </a:schemeClr>
        </a:solidFill>
      </dgm:spPr>
      <dgm:t>
        <a:bodyPr/>
        <a:lstStyle/>
        <a:p>
          <a:pPr algn="ctr"/>
          <a:r>
            <a:rPr lang="es-ES" sz="1100" b="1"/>
            <a:t>Reunión de Socialización y Armonización de Diseños</a:t>
          </a:r>
        </a:p>
      </dgm:t>
    </dgm:pt>
    <dgm:pt modelId="{958EB18E-C8C8-4756-8A0D-091C278834B2}" type="parTrans" cxnId="{A601EDAB-B6E1-404C-A2CB-ADA893280B74}">
      <dgm:prSet/>
      <dgm:spPr/>
      <dgm:t>
        <a:bodyPr/>
        <a:lstStyle/>
        <a:p>
          <a:pPr algn="ctr"/>
          <a:endParaRPr lang="es-ES"/>
        </a:p>
      </dgm:t>
    </dgm:pt>
    <dgm:pt modelId="{2F23B8EF-8DCD-4604-B91C-FC49A5F0063B}" type="sibTrans" cxnId="{A601EDAB-B6E1-404C-A2CB-ADA893280B74}">
      <dgm:prSet/>
      <dgm:spPr/>
      <dgm:t>
        <a:bodyPr/>
        <a:lstStyle/>
        <a:p>
          <a:pPr algn="ctr"/>
          <a:endParaRPr lang="es-ES"/>
        </a:p>
      </dgm:t>
    </dgm:pt>
    <dgm:pt modelId="{396E7824-8C1D-43AE-AAAA-F83DAE398584}">
      <dgm:prSet phldrT="[Texto]" custT="1"/>
      <dgm:spPr/>
      <dgm:t>
        <a:bodyPr/>
        <a:lstStyle/>
        <a:p>
          <a:r>
            <a:rPr lang="es-ES" sz="1100" b="1"/>
            <a:t>Reconocimiento de Condiciones Habitacionales</a:t>
          </a:r>
        </a:p>
      </dgm:t>
    </dgm:pt>
    <dgm:pt modelId="{806D986C-3DAC-4F69-9B03-3012A2327949}" type="parTrans" cxnId="{100A4B1F-42F9-46E1-960E-8DC334FEB047}">
      <dgm:prSet/>
      <dgm:spPr/>
      <dgm:t>
        <a:bodyPr/>
        <a:lstStyle/>
        <a:p>
          <a:endParaRPr lang="es-ES"/>
        </a:p>
      </dgm:t>
    </dgm:pt>
    <dgm:pt modelId="{18B54910-CBB0-4077-8248-03DEDF5F5317}" type="sibTrans" cxnId="{100A4B1F-42F9-46E1-960E-8DC334FEB047}">
      <dgm:prSet/>
      <dgm:spPr/>
      <dgm:t>
        <a:bodyPr/>
        <a:lstStyle/>
        <a:p>
          <a:endParaRPr lang="es-ES"/>
        </a:p>
      </dgm:t>
    </dgm:pt>
    <dgm:pt modelId="{AE292308-6402-46DC-AEB3-1CFABCE2DF82}" type="pres">
      <dgm:prSet presAssocID="{B6B17FFC-42E1-4C95-BB38-B3DF53DA520E}" presName="CompostProcess" presStyleCnt="0">
        <dgm:presLayoutVars>
          <dgm:dir/>
          <dgm:resizeHandles val="exact"/>
        </dgm:presLayoutVars>
      </dgm:prSet>
      <dgm:spPr/>
    </dgm:pt>
    <dgm:pt modelId="{DAEFC826-1F4D-44A1-8203-F55478F7E276}" type="pres">
      <dgm:prSet presAssocID="{B6B17FFC-42E1-4C95-BB38-B3DF53DA520E}" presName="arrow" presStyleLbl="bgShp" presStyleIdx="0" presStyleCnt="1" custScaleX="117647"/>
      <dgm:spPr/>
    </dgm:pt>
    <dgm:pt modelId="{734FEE0C-6717-422F-AE35-F91FED6D95B4}" type="pres">
      <dgm:prSet presAssocID="{B6B17FFC-42E1-4C95-BB38-B3DF53DA520E}" presName="linearProcess" presStyleCnt="0"/>
      <dgm:spPr/>
    </dgm:pt>
    <dgm:pt modelId="{B072FD0A-6290-4C3C-A947-44E4CE7AB2ED}" type="pres">
      <dgm:prSet presAssocID="{50B7FA8D-22CB-4F48-8D81-59E03CF2CEF2}" presName="textNode" presStyleLbl="node1" presStyleIdx="0" presStyleCnt="4">
        <dgm:presLayoutVars>
          <dgm:bulletEnabled val="1"/>
        </dgm:presLayoutVars>
      </dgm:prSet>
      <dgm:spPr/>
    </dgm:pt>
    <dgm:pt modelId="{3899C975-B4F3-44FB-92AD-080893D5CE14}" type="pres">
      <dgm:prSet presAssocID="{11EFEF9E-4435-460D-813E-597CB4974FD9}" presName="sibTrans" presStyleCnt="0"/>
      <dgm:spPr/>
    </dgm:pt>
    <dgm:pt modelId="{2E7DDC2B-8224-4F9E-A866-A58D4C1783D7}" type="pres">
      <dgm:prSet presAssocID="{ED95D39F-F348-439E-9650-902786CF2AD9}" presName="textNode" presStyleLbl="node1" presStyleIdx="1" presStyleCnt="4">
        <dgm:presLayoutVars>
          <dgm:bulletEnabled val="1"/>
        </dgm:presLayoutVars>
      </dgm:prSet>
      <dgm:spPr/>
    </dgm:pt>
    <dgm:pt modelId="{E9F31502-E8BC-4A24-9D68-56192D57D2BF}" type="pres">
      <dgm:prSet presAssocID="{82DBEA11-DAEA-46B7-83E2-0EFCC1F11C10}" presName="sibTrans" presStyleCnt="0"/>
      <dgm:spPr/>
    </dgm:pt>
    <dgm:pt modelId="{60BEC312-64DA-409B-BC4F-EE10A89B400E}" type="pres">
      <dgm:prSet presAssocID="{396E7824-8C1D-43AE-AAAA-F83DAE398584}" presName="textNode" presStyleLbl="node1" presStyleIdx="2" presStyleCnt="4">
        <dgm:presLayoutVars>
          <dgm:bulletEnabled val="1"/>
        </dgm:presLayoutVars>
      </dgm:prSet>
      <dgm:spPr/>
    </dgm:pt>
    <dgm:pt modelId="{958E8853-AB44-4E6E-B64F-54E50B9EA483}" type="pres">
      <dgm:prSet presAssocID="{18B54910-CBB0-4077-8248-03DEDF5F5317}" presName="sibTrans" presStyleCnt="0"/>
      <dgm:spPr/>
    </dgm:pt>
    <dgm:pt modelId="{5F9CF41B-67BD-4D90-9630-B2F98723E743}" type="pres">
      <dgm:prSet presAssocID="{6E2EC47E-57C8-4987-A700-E2E19193D71F}" presName="textNode" presStyleLbl="node1" presStyleIdx="3" presStyleCnt="4">
        <dgm:presLayoutVars>
          <dgm:bulletEnabled val="1"/>
        </dgm:presLayoutVars>
      </dgm:prSet>
      <dgm:spPr/>
    </dgm:pt>
  </dgm:ptLst>
  <dgm:cxnLst>
    <dgm:cxn modelId="{66453F07-579F-47DD-B8E1-F82EB0878200}" srcId="{B6B17FFC-42E1-4C95-BB38-B3DF53DA520E}" destId="{50B7FA8D-22CB-4F48-8D81-59E03CF2CEF2}" srcOrd="0" destOrd="0" parTransId="{A5B4F547-D588-45F2-AA43-01B0718EB972}" sibTransId="{11EFEF9E-4435-460D-813E-597CB4974FD9}"/>
    <dgm:cxn modelId="{100A4B1F-42F9-46E1-960E-8DC334FEB047}" srcId="{B6B17FFC-42E1-4C95-BB38-B3DF53DA520E}" destId="{396E7824-8C1D-43AE-AAAA-F83DAE398584}" srcOrd="2" destOrd="0" parTransId="{806D986C-3DAC-4F69-9B03-3012A2327949}" sibTransId="{18B54910-CBB0-4077-8248-03DEDF5F5317}"/>
    <dgm:cxn modelId="{A601EDAB-B6E1-404C-A2CB-ADA893280B74}" srcId="{B6B17FFC-42E1-4C95-BB38-B3DF53DA520E}" destId="{6E2EC47E-57C8-4987-A700-E2E19193D71F}" srcOrd="3" destOrd="0" parTransId="{958EB18E-C8C8-4756-8A0D-091C278834B2}" sibTransId="{2F23B8EF-8DCD-4604-B91C-FC49A5F0063B}"/>
    <dgm:cxn modelId="{65AF84B6-EE53-4A9C-9573-45D8022CCC33}" type="presOf" srcId="{396E7824-8C1D-43AE-AAAA-F83DAE398584}" destId="{60BEC312-64DA-409B-BC4F-EE10A89B400E}" srcOrd="0" destOrd="0" presId="urn:microsoft.com/office/officeart/2005/8/layout/hProcess9"/>
    <dgm:cxn modelId="{3ADEF2BF-5C88-48E2-97CC-116B0923AEB8}" type="presOf" srcId="{ED95D39F-F348-439E-9650-902786CF2AD9}" destId="{2E7DDC2B-8224-4F9E-A866-A58D4C1783D7}" srcOrd="0" destOrd="0" presId="urn:microsoft.com/office/officeart/2005/8/layout/hProcess9"/>
    <dgm:cxn modelId="{005024CA-877A-4B93-83DA-F32A6A9A4FD8}" type="presOf" srcId="{B6B17FFC-42E1-4C95-BB38-B3DF53DA520E}" destId="{AE292308-6402-46DC-AEB3-1CFABCE2DF82}" srcOrd="0" destOrd="0" presId="urn:microsoft.com/office/officeart/2005/8/layout/hProcess9"/>
    <dgm:cxn modelId="{A4FA64CA-FEB1-491B-9141-A3BA6FB3BD7D}" type="presOf" srcId="{50B7FA8D-22CB-4F48-8D81-59E03CF2CEF2}" destId="{B072FD0A-6290-4C3C-A947-44E4CE7AB2ED}" srcOrd="0" destOrd="0" presId="urn:microsoft.com/office/officeart/2005/8/layout/hProcess9"/>
    <dgm:cxn modelId="{E263BFE6-5C5E-4D9B-BBFD-5B16F52DEC4F}" srcId="{B6B17FFC-42E1-4C95-BB38-B3DF53DA520E}" destId="{ED95D39F-F348-439E-9650-902786CF2AD9}" srcOrd="1" destOrd="0" parTransId="{39F27162-8BC6-41AB-8084-009F6669C78B}" sibTransId="{82DBEA11-DAEA-46B7-83E2-0EFCC1F11C10}"/>
    <dgm:cxn modelId="{F4D5F3FF-E901-4ED6-9141-CB9A7536A451}" type="presOf" srcId="{6E2EC47E-57C8-4987-A700-E2E19193D71F}" destId="{5F9CF41B-67BD-4D90-9630-B2F98723E743}" srcOrd="0" destOrd="0" presId="urn:microsoft.com/office/officeart/2005/8/layout/hProcess9"/>
    <dgm:cxn modelId="{69D29DC5-B7A7-4456-9912-D316B257819A}" type="presParOf" srcId="{AE292308-6402-46DC-AEB3-1CFABCE2DF82}" destId="{DAEFC826-1F4D-44A1-8203-F55478F7E276}" srcOrd="0" destOrd="0" presId="urn:microsoft.com/office/officeart/2005/8/layout/hProcess9"/>
    <dgm:cxn modelId="{5AA50BCA-EE9D-484A-8981-7DE741D1D85B}" type="presParOf" srcId="{AE292308-6402-46DC-AEB3-1CFABCE2DF82}" destId="{734FEE0C-6717-422F-AE35-F91FED6D95B4}" srcOrd="1" destOrd="0" presId="urn:microsoft.com/office/officeart/2005/8/layout/hProcess9"/>
    <dgm:cxn modelId="{CFA6E736-5B4B-46D3-8BE8-BD60995E31B0}" type="presParOf" srcId="{734FEE0C-6717-422F-AE35-F91FED6D95B4}" destId="{B072FD0A-6290-4C3C-A947-44E4CE7AB2ED}" srcOrd="0" destOrd="0" presId="urn:microsoft.com/office/officeart/2005/8/layout/hProcess9"/>
    <dgm:cxn modelId="{8BB429F9-18FA-4707-B6F9-08EECBBED65B}" type="presParOf" srcId="{734FEE0C-6717-422F-AE35-F91FED6D95B4}" destId="{3899C975-B4F3-44FB-92AD-080893D5CE14}" srcOrd="1" destOrd="0" presId="urn:microsoft.com/office/officeart/2005/8/layout/hProcess9"/>
    <dgm:cxn modelId="{185CF3BC-048E-4BF6-8B1F-34C3417B5C26}" type="presParOf" srcId="{734FEE0C-6717-422F-AE35-F91FED6D95B4}" destId="{2E7DDC2B-8224-4F9E-A866-A58D4C1783D7}" srcOrd="2" destOrd="0" presId="urn:microsoft.com/office/officeart/2005/8/layout/hProcess9"/>
    <dgm:cxn modelId="{89B5C03C-9388-4CF0-A76A-7D72ADF122A5}" type="presParOf" srcId="{734FEE0C-6717-422F-AE35-F91FED6D95B4}" destId="{E9F31502-E8BC-4A24-9D68-56192D57D2BF}" srcOrd="3" destOrd="0" presId="urn:microsoft.com/office/officeart/2005/8/layout/hProcess9"/>
    <dgm:cxn modelId="{6B6235F1-5CC7-44ED-B5C0-F30A0B97C0AE}" type="presParOf" srcId="{734FEE0C-6717-422F-AE35-F91FED6D95B4}" destId="{60BEC312-64DA-409B-BC4F-EE10A89B400E}" srcOrd="4" destOrd="0" presId="urn:microsoft.com/office/officeart/2005/8/layout/hProcess9"/>
    <dgm:cxn modelId="{6DA79E0C-1BCF-4ED8-98F2-0DB453B624AC}" type="presParOf" srcId="{734FEE0C-6717-422F-AE35-F91FED6D95B4}" destId="{958E8853-AB44-4E6E-B64F-54E50B9EA483}" srcOrd="5" destOrd="0" presId="urn:microsoft.com/office/officeart/2005/8/layout/hProcess9"/>
    <dgm:cxn modelId="{211D117E-5910-499E-9F85-787B97F250CC}" type="presParOf" srcId="{734FEE0C-6717-422F-AE35-F91FED6D95B4}" destId="{5F9CF41B-67BD-4D90-9630-B2F98723E743}" srcOrd="6" destOrd="0" presId="urn:microsoft.com/office/officeart/2005/8/layout/hProcess9"/>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68DFC12-7382-4911-9D8C-2CDE5AE50228}" type="doc">
      <dgm:prSet loTypeId="urn:microsoft.com/office/officeart/2005/8/layout/hProcess9" loCatId="process" qsTypeId="urn:microsoft.com/office/officeart/2005/8/quickstyle/simple1" qsCatId="simple" csTypeId="urn:microsoft.com/office/officeart/2005/8/colors/colorful1" csCatId="colorful" phldr="1"/>
      <dgm:spPr/>
    </dgm:pt>
    <dgm:pt modelId="{C0F49324-71D7-4130-8CE7-43B236698F79}">
      <dgm:prSet phldrT="[Texto]" custT="1"/>
      <dgm:spPr/>
      <dgm:t>
        <a:bodyPr/>
        <a:lstStyle/>
        <a:p>
          <a:r>
            <a:rPr lang="es-ES" sz="1200" b="1"/>
            <a:t>Reunión de Inicio "Todos con la Obra"</a:t>
          </a:r>
        </a:p>
      </dgm:t>
    </dgm:pt>
    <dgm:pt modelId="{5AD9834D-8A48-4110-9A72-A7B436FFE4B5}" type="parTrans" cxnId="{B17D9FDC-6356-40C8-BFCF-8D5872F40AA2}">
      <dgm:prSet/>
      <dgm:spPr/>
      <dgm:t>
        <a:bodyPr/>
        <a:lstStyle/>
        <a:p>
          <a:endParaRPr lang="es-ES"/>
        </a:p>
      </dgm:t>
    </dgm:pt>
    <dgm:pt modelId="{82057D05-2DE3-4C14-B5DD-0F52763947BD}" type="sibTrans" cxnId="{B17D9FDC-6356-40C8-BFCF-8D5872F40AA2}">
      <dgm:prSet/>
      <dgm:spPr/>
      <dgm:t>
        <a:bodyPr/>
        <a:lstStyle/>
        <a:p>
          <a:endParaRPr lang="es-ES"/>
        </a:p>
      </dgm:t>
    </dgm:pt>
    <dgm:pt modelId="{E5E7F4DD-97C5-44CC-A37F-591C4253D8D9}">
      <dgm:prSet phldrT="[Texto]" custT="1"/>
      <dgm:spPr/>
      <dgm:t>
        <a:bodyPr/>
        <a:lstStyle/>
        <a:p>
          <a:r>
            <a:rPr lang="es-ES" sz="1200" b="1"/>
            <a:t>Comités Mensuales de Veeduria Ciudadana.</a:t>
          </a:r>
        </a:p>
      </dgm:t>
    </dgm:pt>
    <dgm:pt modelId="{D6105735-1200-4685-820A-3B9A5CFD83E7}" type="parTrans" cxnId="{EFC13E9C-71BA-4F81-AF1C-E101CEA3A026}">
      <dgm:prSet/>
      <dgm:spPr/>
      <dgm:t>
        <a:bodyPr/>
        <a:lstStyle/>
        <a:p>
          <a:endParaRPr lang="es-ES"/>
        </a:p>
      </dgm:t>
    </dgm:pt>
    <dgm:pt modelId="{CB6ECE5D-B894-4269-8D9F-4C03981EF5EC}" type="sibTrans" cxnId="{EFC13E9C-71BA-4F81-AF1C-E101CEA3A026}">
      <dgm:prSet/>
      <dgm:spPr/>
      <dgm:t>
        <a:bodyPr/>
        <a:lstStyle/>
        <a:p>
          <a:endParaRPr lang="es-ES"/>
        </a:p>
      </dgm:t>
    </dgm:pt>
    <dgm:pt modelId="{1F24F143-468E-48FD-BE46-62C2E6AD5A0B}" type="pres">
      <dgm:prSet presAssocID="{368DFC12-7382-4911-9D8C-2CDE5AE50228}" presName="CompostProcess" presStyleCnt="0">
        <dgm:presLayoutVars>
          <dgm:dir/>
          <dgm:resizeHandles val="exact"/>
        </dgm:presLayoutVars>
      </dgm:prSet>
      <dgm:spPr/>
    </dgm:pt>
    <dgm:pt modelId="{BF10253A-8813-41D5-84A5-BCD4899D5E63}" type="pres">
      <dgm:prSet presAssocID="{368DFC12-7382-4911-9D8C-2CDE5AE50228}" presName="arrow" presStyleLbl="bgShp" presStyleIdx="0" presStyleCnt="1"/>
      <dgm:spPr/>
    </dgm:pt>
    <dgm:pt modelId="{BD0F6229-9B20-4715-BB81-F34E61FE4167}" type="pres">
      <dgm:prSet presAssocID="{368DFC12-7382-4911-9D8C-2CDE5AE50228}" presName="linearProcess" presStyleCnt="0"/>
      <dgm:spPr/>
    </dgm:pt>
    <dgm:pt modelId="{B2A43B56-2315-4D45-BCEA-060F18317704}" type="pres">
      <dgm:prSet presAssocID="{C0F49324-71D7-4130-8CE7-43B236698F79}" presName="textNode" presStyleLbl="node1" presStyleIdx="0" presStyleCnt="2">
        <dgm:presLayoutVars>
          <dgm:bulletEnabled val="1"/>
        </dgm:presLayoutVars>
      </dgm:prSet>
      <dgm:spPr/>
    </dgm:pt>
    <dgm:pt modelId="{E712782A-73BF-4FAE-8D08-3724E351D341}" type="pres">
      <dgm:prSet presAssocID="{82057D05-2DE3-4C14-B5DD-0F52763947BD}" presName="sibTrans" presStyleCnt="0"/>
      <dgm:spPr/>
    </dgm:pt>
    <dgm:pt modelId="{964870DB-EFBC-4B5A-B5FB-4B55B985FD02}" type="pres">
      <dgm:prSet presAssocID="{E5E7F4DD-97C5-44CC-A37F-591C4253D8D9}" presName="textNode" presStyleLbl="node1" presStyleIdx="1" presStyleCnt="2">
        <dgm:presLayoutVars>
          <dgm:bulletEnabled val="1"/>
        </dgm:presLayoutVars>
      </dgm:prSet>
      <dgm:spPr/>
    </dgm:pt>
  </dgm:ptLst>
  <dgm:cxnLst>
    <dgm:cxn modelId="{9961986A-9092-49F6-9883-F9C276AB9107}" type="presOf" srcId="{E5E7F4DD-97C5-44CC-A37F-591C4253D8D9}" destId="{964870DB-EFBC-4B5A-B5FB-4B55B985FD02}" srcOrd="0" destOrd="0" presId="urn:microsoft.com/office/officeart/2005/8/layout/hProcess9"/>
    <dgm:cxn modelId="{4650568F-F2A6-4812-81B8-5CB073093180}" type="presOf" srcId="{368DFC12-7382-4911-9D8C-2CDE5AE50228}" destId="{1F24F143-468E-48FD-BE46-62C2E6AD5A0B}" srcOrd="0" destOrd="0" presId="urn:microsoft.com/office/officeart/2005/8/layout/hProcess9"/>
    <dgm:cxn modelId="{EFC13E9C-71BA-4F81-AF1C-E101CEA3A026}" srcId="{368DFC12-7382-4911-9D8C-2CDE5AE50228}" destId="{E5E7F4DD-97C5-44CC-A37F-591C4253D8D9}" srcOrd="1" destOrd="0" parTransId="{D6105735-1200-4685-820A-3B9A5CFD83E7}" sibTransId="{CB6ECE5D-B894-4269-8D9F-4C03981EF5EC}"/>
    <dgm:cxn modelId="{B17D9FDC-6356-40C8-BFCF-8D5872F40AA2}" srcId="{368DFC12-7382-4911-9D8C-2CDE5AE50228}" destId="{C0F49324-71D7-4130-8CE7-43B236698F79}" srcOrd="0" destOrd="0" parTransId="{5AD9834D-8A48-4110-9A72-A7B436FFE4B5}" sibTransId="{82057D05-2DE3-4C14-B5DD-0F52763947BD}"/>
    <dgm:cxn modelId="{D20A8DE1-3FFC-4EC9-8CAB-AE425DDD67FC}" type="presOf" srcId="{C0F49324-71D7-4130-8CE7-43B236698F79}" destId="{B2A43B56-2315-4D45-BCEA-060F18317704}" srcOrd="0" destOrd="0" presId="urn:microsoft.com/office/officeart/2005/8/layout/hProcess9"/>
    <dgm:cxn modelId="{3AA7CC03-73D3-470E-948D-5C857FCF33C9}" type="presParOf" srcId="{1F24F143-468E-48FD-BE46-62C2E6AD5A0B}" destId="{BF10253A-8813-41D5-84A5-BCD4899D5E63}" srcOrd="0" destOrd="0" presId="urn:microsoft.com/office/officeart/2005/8/layout/hProcess9"/>
    <dgm:cxn modelId="{7A218E82-9DDA-4F9E-BD3D-F6EBC85CDA40}" type="presParOf" srcId="{1F24F143-468E-48FD-BE46-62C2E6AD5A0B}" destId="{BD0F6229-9B20-4715-BB81-F34E61FE4167}" srcOrd="1" destOrd="0" presId="urn:microsoft.com/office/officeart/2005/8/layout/hProcess9"/>
    <dgm:cxn modelId="{F4A8E6DF-D7C9-4D30-8528-27434EF79C58}" type="presParOf" srcId="{BD0F6229-9B20-4715-BB81-F34E61FE4167}" destId="{B2A43B56-2315-4D45-BCEA-060F18317704}" srcOrd="0" destOrd="0" presId="urn:microsoft.com/office/officeart/2005/8/layout/hProcess9"/>
    <dgm:cxn modelId="{B41F26B1-1017-47D5-B8A8-ABA832CA6E02}" type="presParOf" srcId="{BD0F6229-9B20-4715-BB81-F34E61FE4167}" destId="{E712782A-73BF-4FAE-8D08-3724E351D341}" srcOrd="1" destOrd="0" presId="urn:microsoft.com/office/officeart/2005/8/layout/hProcess9"/>
    <dgm:cxn modelId="{C5ADF761-059D-4198-B874-53DE0F2FD082}" type="presParOf" srcId="{BD0F6229-9B20-4715-BB81-F34E61FE4167}" destId="{964870DB-EFBC-4B5A-B5FB-4B55B985FD02}" srcOrd="2" destOrd="0" presId="urn:microsoft.com/office/officeart/2005/8/layout/hProcess9"/>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4F5330-8252-4F9B-8F6F-A7B80AC1B0BB}" type="doc">
      <dgm:prSet loTypeId="urn:microsoft.com/office/officeart/2005/8/layout/venn3" loCatId="relationship" qsTypeId="urn:microsoft.com/office/officeart/2005/8/quickstyle/simple1" qsCatId="simple" csTypeId="urn:microsoft.com/office/officeart/2005/8/colors/colorful4" csCatId="colorful" phldr="1"/>
      <dgm:spPr/>
      <dgm:t>
        <a:bodyPr/>
        <a:lstStyle/>
        <a:p>
          <a:endParaRPr lang="es-ES"/>
        </a:p>
      </dgm:t>
    </dgm:pt>
    <dgm:pt modelId="{40AD6990-69C4-4ECB-9588-B59269D8C7C1}">
      <dgm:prSet phldrT="[Texto]" custT="1"/>
      <dgm:spPr/>
      <dgm:t>
        <a:bodyPr/>
        <a:lstStyle/>
        <a:p>
          <a:pPr algn="ctr"/>
          <a:r>
            <a:rPr lang="es-ES" sz="1200" b="1"/>
            <a:t>Reunión de Finalización</a:t>
          </a:r>
        </a:p>
      </dgm:t>
    </dgm:pt>
    <dgm:pt modelId="{7A324870-E70A-43BF-A91D-D9DA6618C077}" type="parTrans" cxnId="{D4E4249C-6489-4B0D-BA59-CC84705F473B}">
      <dgm:prSet/>
      <dgm:spPr/>
      <dgm:t>
        <a:bodyPr/>
        <a:lstStyle/>
        <a:p>
          <a:pPr algn="ctr"/>
          <a:endParaRPr lang="es-ES"/>
        </a:p>
      </dgm:t>
    </dgm:pt>
    <dgm:pt modelId="{00EA8D3E-758F-4C44-8EEE-29051F0CDDED}" type="sibTrans" cxnId="{D4E4249C-6489-4B0D-BA59-CC84705F473B}">
      <dgm:prSet/>
      <dgm:spPr/>
      <dgm:t>
        <a:bodyPr/>
        <a:lstStyle/>
        <a:p>
          <a:pPr algn="ctr"/>
          <a:endParaRPr lang="es-ES"/>
        </a:p>
      </dgm:t>
    </dgm:pt>
    <dgm:pt modelId="{62BCD803-7D80-4533-89D9-0FC6A01A9519}">
      <dgm:prSet phldrT="[Texto]" custT="1"/>
      <dgm:spPr/>
      <dgm:t>
        <a:bodyPr/>
        <a:lstStyle/>
        <a:p>
          <a:pPr algn="ctr"/>
          <a:r>
            <a:rPr lang="es-ES" sz="1200" b="1"/>
            <a:t>Acuerdo de Sostenibilidad</a:t>
          </a:r>
        </a:p>
      </dgm:t>
    </dgm:pt>
    <dgm:pt modelId="{2938ECD9-9A58-4C86-9842-EA5FC9DC0F7E}" type="parTrans" cxnId="{4ECC819E-9185-4DFC-9C31-F4EC490321CA}">
      <dgm:prSet/>
      <dgm:spPr/>
      <dgm:t>
        <a:bodyPr/>
        <a:lstStyle/>
        <a:p>
          <a:pPr algn="ctr"/>
          <a:endParaRPr lang="es-ES"/>
        </a:p>
      </dgm:t>
    </dgm:pt>
    <dgm:pt modelId="{C9623B8B-1B19-451F-A4A7-0477CDDE3994}" type="sibTrans" cxnId="{4ECC819E-9185-4DFC-9C31-F4EC490321CA}">
      <dgm:prSet/>
      <dgm:spPr/>
      <dgm:t>
        <a:bodyPr/>
        <a:lstStyle/>
        <a:p>
          <a:pPr algn="ctr"/>
          <a:endParaRPr lang="es-ES"/>
        </a:p>
      </dgm:t>
    </dgm:pt>
    <dgm:pt modelId="{5836434F-5245-4490-9E63-9F4B26D7E303}" type="pres">
      <dgm:prSet presAssocID="{944F5330-8252-4F9B-8F6F-A7B80AC1B0BB}" presName="Name0" presStyleCnt="0">
        <dgm:presLayoutVars>
          <dgm:dir/>
          <dgm:resizeHandles val="exact"/>
        </dgm:presLayoutVars>
      </dgm:prSet>
      <dgm:spPr/>
    </dgm:pt>
    <dgm:pt modelId="{6D054952-5EAD-4992-BE61-082274B96AB6}" type="pres">
      <dgm:prSet presAssocID="{40AD6990-69C4-4ECB-9588-B59269D8C7C1}" presName="Name5" presStyleLbl="vennNode1" presStyleIdx="0" presStyleCnt="2">
        <dgm:presLayoutVars>
          <dgm:bulletEnabled val="1"/>
        </dgm:presLayoutVars>
      </dgm:prSet>
      <dgm:spPr/>
    </dgm:pt>
    <dgm:pt modelId="{3C78D673-5E59-44A9-8DB4-710A87CADCFB}" type="pres">
      <dgm:prSet presAssocID="{00EA8D3E-758F-4C44-8EEE-29051F0CDDED}" presName="space" presStyleCnt="0"/>
      <dgm:spPr/>
    </dgm:pt>
    <dgm:pt modelId="{2648A0FC-1E76-4AFB-9359-47E8B05C712B}" type="pres">
      <dgm:prSet presAssocID="{62BCD803-7D80-4533-89D9-0FC6A01A9519}" presName="Name5" presStyleLbl="vennNode1" presStyleIdx="1" presStyleCnt="2" custScaleX="115581">
        <dgm:presLayoutVars>
          <dgm:bulletEnabled val="1"/>
        </dgm:presLayoutVars>
      </dgm:prSet>
      <dgm:spPr/>
    </dgm:pt>
  </dgm:ptLst>
  <dgm:cxnLst>
    <dgm:cxn modelId="{E4111E44-F9D0-4370-A3AE-21C18DAE7D17}" type="presOf" srcId="{40AD6990-69C4-4ECB-9588-B59269D8C7C1}" destId="{6D054952-5EAD-4992-BE61-082274B96AB6}" srcOrd="0" destOrd="0" presId="urn:microsoft.com/office/officeart/2005/8/layout/venn3"/>
    <dgm:cxn modelId="{F8D7926B-0812-4D28-8B43-0E95F20A8682}" type="presOf" srcId="{62BCD803-7D80-4533-89D9-0FC6A01A9519}" destId="{2648A0FC-1E76-4AFB-9359-47E8B05C712B}" srcOrd="0" destOrd="0" presId="urn:microsoft.com/office/officeart/2005/8/layout/venn3"/>
    <dgm:cxn modelId="{C8A67559-4F97-416B-A7FB-D2CB2D99BF7F}" type="presOf" srcId="{944F5330-8252-4F9B-8F6F-A7B80AC1B0BB}" destId="{5836434F-5245-4490-9E63-9F4B26D7E303}" srcOrd="0" destOrd="0" presId="urn:microsoft.com/office/officeart/2005/8/layout/venn3"/>
    <dgm:cxn modelId="{D4E4249C-6489-4B0D-BA59-CC84705F473B}" srcId="{944F5330-8252-4F9B-8F6F-A7B80AC1B0BB}" destId="{40AD6990-69C4-4ECB-9588-B59269D8C7C1}" srcOrd="0" destOrd="0" parTransId="{7A324870-E70A-43BF-A91D-D9DA6618C077}" sibTransId="{00EA8D3E-758F-4C44-8EEE-29051F0CDDED}"/>
    <dgm:cxn modelId="{4ECC819E-9185-4DFC-9C31-F4EC490321CA}" srcId="{944F5330-8252-4F9B-8F6F-A7B80AC1B0BB}" destId="{62BCD803-7D80-4533-89D9-0FC6A01A9519}" srcOrd="1" destOrd="0" parTransId="{2938ECD9-9A58-4C86-9842-EA5FC9DC0F7E}" sibTransId="{C9623B8B-1B19-451F-A4A7-0477CDDE3994}"/>
    <dgm:cxn modelId="{071FA690-89A8-4D29-9F3F-BB26AD72452D}" type="presParOf" srcId="{5836434F-5245-4490-9E63-9F4B26D7E303}" destId="{6D054952-5EAD-4992-BE61-082274B96AB6}" srcOrd="0" destOrd="0" presId="urn:microsoft.com/office/officeart/2005/8/layout/venn3"/>
    <dgm:cxn modelId="{A77956D1-15C3-4D83-B247-36165C7A70F0}" type="presParOf" srcId="{5836434F-5245-4490-9E63-9F4B26D7E303}" destId="{3C78D673-5E59-44A9-8DB4-710A87CADCFB}" srcOrd="1" destOrd="0" presId="urn:microsoft.com/office/officeart/2005/8/layout/venn3"/>
    <dgm:cxn modelId="{5BE5B246-7934-40C5-B382-72C60AFAEC1D}" type="presParOf" srcId="{5836434F-5245-4490-9E63-9F4B26D7E303}" destId="{2648A0FC-1E76-4AFB-9359-47E8B05C712B}" srcOrd="2" destOrd="0" presId="urn:microsoft.com/office/officeart/2005/8/layout/venn3"/>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DF22662-4B6F-41E1-A67E-866192E85F90}" type="doc">
      <dgm:prSet loTypeId="urn:microsoft.com/office/officeart/2005/8/layout/hProcess9" loCatId="process" qsTypeId="urn:microsoft.com/office/officeart/2005/8/quickstyle/simple1" qsCatId="simple" csTypeId="urn:microsoft.com/office/officeart/2005/8/colors/accent1_2" csCatId="accent1" phldr="1"/>
      <dgm:spPr/>
    </dgm:pt>
    <dgm:pt modelId="{5A2739DC-382D-4A06-A8E8-ABE08F5F5F8D}">
      <dgm:prSet phldrT="[Texto]" custT="1"/>
      <dgm:spPr>
        <a:solidFill>
          <a:schemeClr val="accent6">
            <a:lumMod val="60000"/>
            <a:lumOff val="40000"/>
          </a:schemeClr>
        </a:solidFill>
      </dgm:spPr>
      <dgm:t>
        <a:bodyPr/>
        <a:lstStyle/>
        <a:p>
          <a:pPr algn="ctr"/>
          <a:r>
            <a:rPr lang="es-ES" sz="1200" b="0" cap="none" spc="0">
              <a:ln w="0"/>
              <a:solidFill>
                <a:schemeClr val="tx1"/>
              </a:solidFill>
              <a:effectLst>
                <a:outerShdw blurRad="38100" dist="19050" dir="2700000" algn="tl" rotWithShape="0">
                  <a:schemeClr val="dk1">
                    <a:alpha val="40000"/>
                  </a:schemeClr>
                </a:outerShdw>
              </a:effectLst>
            </a:rPr>
            <a:t>Reunion Arte Urbano</a:t>
          </a:r>
        </a:p>
      </dgm:t>
    </dgm:pt>
    <dgm:pt modelId="{9C581B5C-6D8C-4C11-AA87-117B3CAFD757}" type="parTrans" cxnId="{8B146933-794F-49FA-B158-3B59C697A83D}">
      <dgm:prSet/>
      <dgm:spPr/>
      <dgm:t>
        <a:bodyPr/>
        <a:lstStyle/>
        <a:p>
          <a:pPr algn="ctr"/>
          <a:endParaRPr lang="es-ES"/>
        </a:p>
      </dgm:t>
    </dgm:pt>
    <dgm:pt modelId="{003A38EF-B786-4D0A-B92E-37F71C9DA743}" type="sibTrans" cxnId="{8B146933-794F-49FA-B158-3B59C697A83D}">
      <dgm:prSet/>
      <dgm:spPr/>
      <dgm:t>
        <a:bodyPr/>
        <a:lstStyle/>
        <a:p>
          <a:pPr algn="ctr"/>
          <a:endParaRPr lang="es-ES"/>
        </a:p>
      </dgm:t>
    </dgm:pt>
    <dgm:pt modelId="{191419A7-FEEF-4887-9C27-1F56E829508D}">
      <dgm:prSet phldrT="[Texto]" custT="1"/>
      <dgm:spPr>
        <a:solidFill>
          <a:srgbClr val="7030A0"/>
        </a:solidFill>
      </dgm:spPr>
      <dgm:t>
        <a:bodyPr/>
        <a:lstStyle/>
        <a:p>
          <a:pPr algn="ctr"/>
          <a:r>
            <a:rPr lang="es-ES" sz="1200"/>
            <a:t>Comites de Veeduria</a:t>
          </a:r>
        </a:p>
      </dgm:t>
    </dgm:pt>
    <dgm:pt modelId="{145CCBB2-5ECB-49D9-BCD9-F5231B1B9208}" type="parTrans" cxnId="{AD50AD2E-001E-4C28-A980-81730BFFACD5}">
      <dgm:prSet/>
      <dgm:spPr/>
      <dgm:t>
        <a:bodyPr/>
        <a:lstStyle/>
        <a:p>
          <a:pPr algn="ctr"/>
          <a:endParaRPr lang="es-ES"/>
        </a:p>
      </dgm:t>
    </dgm:pt>
    <dgm:pt modelId="{A0BF2BDC-CF6C-411B-A78F-FC500D0E147C}" type="sibTrans" cxnId="{AD50AD2E-001E-4C28-A980-81730BFFACD5}">
      <dgm:prSet/>
      <dgm:spPr/>
      <dgm:t>
        <a:bodyPr/>
        <a:lstStyle/>
        <a:p>
          <a:pPr algn="ctr"/>
          <a:endParaRPr lang="es-ES"/>
        </a:p>
      </dgm:t>
    </dgm:pt>
    <dgm:pt modelId="{A1136268-F079-4421-A107-D0186F1E1A9E}">
      <dgm:prSet phldrT="[Texto]" custT="1"/>
      <dgm:spPr>
        <a:solidFill>
          <a:schemeClr val="accent4">
            <a:lumMod val="60000"/>
            <a:lumOff val="40000"/>
          </a:schemeClr>
        </a:solidFill>
      </dgm:spPr>
      <dgm:t>
        <a:bodyPr/>
        <a:lstStyle/>
        <a:p>
          <a:pPr algn="ctr"/>
          <a:r>
            <a:rPr lang="es-ES" sz="1200" b="0" cap="none" spc="0">
              <a:ln w="0"/>
              <a:solidFill>
                <a:schemeClr val="tx1"/>
              </a:solidFill>
              <a:effectLst>
                <a:outerShdw blurRad="38100" dist="19050" dir="2700000" algn="tl" rotWithShape="0">
                  <a:schemeClr val="dk1">
                    <a:alpha val="40000"/>
                  </a:schemeClr>
                </a:outerShdw>
              </a:effectLst>
            </a:rPr>
            <a:t>Pacto de Sostenibilidad</a:t>
          </a:r>
        </a:p>
      </dgm:t>
    </dgm:pt>
    <dgm:pt modelId="{468D8FBA-B225-4ADF-BD3E-2F9B185F8722}" type="parTrans" cxnId="{C5193528-545A-4933-8F01-9AE56FA1CA9B}">
      <dgm:prSet/>
      <dgm:spPr/>
      <dgm:t>
        <a:bodyPr/>
        <a:lstStyle/>
        <a:p>
          <a:pPr algn="ctr"/>
          <a:endParaRPr lang="es-ES"/>
        </a:p>
      </dgm:t>
    </dgm:pt>
    <dgm:pt modelId="{D7E9850F-1A53-471B-9E27-227DFA586DB6}" type="sibTrans" cxnId="{C5193528-545A-4933-8F01-9AE56FA1CA9B}">
      <dgm:prSet/>
      <dgm:spPr/>
      <dgm:t>
        <a:bodyPr/>
        <a:lstStyle/>
        <a:p>
          <a:pPr algn="ctr"/>
          <a:endParaRPr lang="es-ES"/>
        </a:p>
      </dgm:t>
    </dgm:pt>
    <dgm:pt modelId="{E676F44D-F44E-4891-883C-8D550A31E6FD}" type="pres">
      <dgm:prSet presAssocID="{4DF22662-4B6F-41E1-A67E-866192E85F90}" presName="CompostProcess" presStyleCnt="0">
        <dgm:presLayoutVars>
          <dgm:dir/>
          <dgm:resizeHandles val="exact"/>
        </dgm:presLayoutVars>
      </dgm:prSet>
      <dgm:spPr/>
    </dgm:pt>
    <dgm:pt modelId="{0BCB4BDD-D1EA-480B-A5C0-7099D72E8CCB}" type="pres">
      <dgm:prSet presAssocID="{4DF22662-4B6F-41E1-A67E-866192E85F90}" presName="arrow" presStyleLbl="bgShp" presStyleIdx="0" presStyleCnt="1"/>
      <dgm:spPr>
        <a:solidFill>
          <a:schemeClr val="tx2">
            <a:lumMod val="60000"/>
            <a:lumOff val="40000"/>
          </a:schemeClr>
        </a:solidFill>
      </dgm:spPr>
    </dgm:pt>
    <dgm:pt modelId="{48B00341-AD12-4B23-BCA6-C1ECB190C74A}" type="pres">
      <dgm:prSet presAssocID="{4DF22662-4B6F-41E1-A67E-866192E85F90}" presName="linearProcess" presStyleCnt="0"/>
      <dgm:spPr/>
    </dgm:pt>
    <dgm:pt modelId="{4B380D13-1DB5-4F65-B955-07A387BB8F65}" type="pres">
      <dgm:prSet presAssocID="{5A2739DC-382D-4A06-A8E8-ABE08F5F5F8D}" presName="textNode" presStyleLbl="node1" presStyleIdx="0" presStyleCnt="3">
        <dgm:presLayoutVars>
          <dgm:bulletEnabled val="1"/>
        </dgm:presLayoutVars>
      </dgm:prSet>
      <dgm:spPr/>
    </dgm:pt>
    <dgm:pt modelId="{83A13F34-5D16-44AD-A8C1-0857613D5ACA}" type="pres">
      <dgm:prSet presAssocID="{003A38EF-B786-4D0A-B92E-37F71C9DA743}" presName="sibTrans" presStyleCnt="0"/>
      <dgm:spPr/>
    </dgm:pt>
    <dgm:pt modelId="{2ECD6853-B875-4C6A-8A04-88EA430115CD}" type="pres">
      <dgm:prSet presAssocID="{191419A7-FEEF-4887-9C27-1F56E829508D}" presName="textNode" presStyleLbl="node1" presStyleIdx="1" presStyleCnt="3">
        <dgm:presLayoutVars>
          <dgm:bulletEnabled val="1"/>
        </dgm:presLayoutVars>
      </dgm:prSet>
      <dgm:spPr/>
    </dgm:pt>
    <dgm:pt modelId="{08FD958D-0676-44CA-B872-013381D40851}" type="pres">
      <dgm:prSet presAssocID="{A0BF2BDC-CF6C-411B-A78F-FC500D0E147C}" presName="sibTrans" presStyleCnt="0"/>
      <dgm:spPr/>
    </dgm:pt>
    <dgm:pt modelId="{AAC81C8A-3E8F-4D0A-BECE-CBAC06B36F5F}" type="pres">
      <dgm:prSet presAssocID="{A1136268-F079-4421-A107-D0186F1E1A9E}" presName="textNode" presStyleLbl="node1" presStyleIdx="2" presStyleCnt="3">
        <dgm:presLayoutVars>
          <dgm:bulletEnabled val="1"/>
        </dgm:presLayoutVars>
      </dgm:prSet>
      <dgm:spPr/>
    </dgm:pt>
  </dgm:ptLst>
  <dgm:cxnLst>
    <dgm:cxn modelId="{C5193528-545A-4933-8F01-9AE56FA1CA9B}" srcId="{4DF22662-4B6F-41E1-A67E-866192E85F90}" destId="{A1136268-F079-4421-A107-D0186F1E1A9E}" srcOrd="2" destOrd="0" parTransId="{468D8FBA-B225-4ADF-BD3E-2F9B185F8722}" sibTransId="{D7E9850F-1A53-471B-9E27-227DFA586DB6}"/>
    <dgm:cxn modelId="{49CED52A-88F8-4C13-A2DA-4FA3B05316AC}" type="presOf" srcId="{191419A7-FEEF-4887-9C27-1F56E829508D}" destId="{2ECD6853-B875-4C6A-8A04-88EA430115CD}" srcOrd="0" destOrd="0" presId="urn:microsoft.com/office/officeart/2005/8/layout/hProcess9"/>
    <dgm:cxn modelId="{AD50AD2E-001E-4C28-A980-81730BFFACD5}" srcId="{4DF22662-4B6F-41E1-A67E-866192E85F90}" destId="{191419A7-FEEF-4887-9C27-1F56E829508D}" srcOrd="1" destOrd="0" parTransId="{145CCBB2-5ECB-49D9-BCD9-F5231B1B9208}" sibTransId="{A0BF2BDC-CF6C-411B-A78F-FC500D0E147C}"/>
    <dgm:cxn modelId="{8B146933-794F-49FA-B158-3B59C697A83D}" srcId="{4DF22662-4B6F-41E1-A67E-866192E85F90}" destId="{5A2739DC-382D-4A06-A8E8-ABE08F5F5F8D}" srcOrd="0" destOrd="0" parTransId="{9C581B5C-6D8C-4C11-AA87-117B3CAFD757}" sibTransId="{003A38EF-B786-4D0A-B92E-37F71C9DA743}"/>
    <dgm:cxn modelId="{3AE7684E-96A4-4C39-BCC8-C127339B66D7}" type="presOf" srcId="{4DF22662-4B6F-41E1-A67E-866192E85F90}" destId="{E676F44D-F44E-4891-883C-8D550A31E6FD}" srcOrd="0" destOrd="0" presId="urn:microsoft.com/office/officeart/2005/8/layout/hProcess9"/>
    <dgm:cxn modelId="{541558F9-07C5-4CDA-A718-A798DA931B21}" type="presOf" srcId="{5A2739DC-382D-4A06-A8E8-ABE08F5F5F8D}" destId="{4B380D13-1DB5-4F65-B955-07A387BB8F65}" srcOrd="0" destOrd="0" presId="urn:microsoft.com/office/officeart/2005/8/layout/hProcess9"/>
    <dgm:cxn modelId="{C9DDEBFB-C459-4271-8B84-3D8F521796DF}" type="presOf" srcId="{A1136268-F079-4421-A107-D0186F1E1A9E}" destId="{AAC81C8A-3E8F-4D0A-BECE-CBAC06B36F5F}" srcOrd="0" destOrd="0" presId="urn:microsoft.com/office/officeart/2005/8/layout/hProcess9"/>
    <dgm:cxn modelId="{0AEA5D34-D921-4788-B6A4-A52E42E113D7}" type="presParOf" srcId="{E676F44D-F44E-4891-883C-8D550A31E6FD}" destId="{0BCB4BDD-D1EA-480B-A5C0-7099D72E8CCB}" srcOrd="0" destOrd="0" presId="urn:microsoft.com/office/officeart/2005/8/layout/hProcess9"/>
    <dgm:cxn modelId="{1EAC6D3C-4225-4DE6-B806-0A70B58FE825}" type="presParOf" srcId="{E676F44D-F44E-4891-883C-8D550A31E6FD}" destId="{48B00341-AD12-4B23-BCA6-C1ECB190C74A}" srcOrd="1" destOrd="0" presId="urn:microsoft.com/office/officeart/2005/8/layout/hProcess9"/>
    <dgm:cxn modelId="{FB15B723-6822-40E5-8D61-7DB6F380C7B9}" type="presParOf" srcId="{48B00341-AD12-4B23-BCA6-C1ECB190C74A}" destId="{4B380D13-1DB5-4F65-B955-07A387BB8F65}" srcOrd="0" destOrd="0" presId="urn:microsoft.com/office/officeart/2005/8/layout/hProcess9"/>
    <dgm:cxn modelId="{6E08A5B5-DD88-4128-810B-85CE7380142A}" type="presParOf" srcId="{48B00341-AD12-4B23-BCA6-C1ECB190C74A}" destId="{83A13F34-5D16-44AD-A8C1-0857613D5ACA}" srcOrd="1" destOrd="0" presId="urn:microsoft.com/office/officeart/2005/8/layout/hProcess9"/>
    <dgm:cxn modelId="{079F4B83-7180-48F4-8BAA-96EC9452CA81}" type="presParOf" srcId="{48B00341-AD12-4B23-BCA6-C1ECB190C74A}" destId="{2ECD6853-B875-4C6A-8A04-88EA430115CD}" srcOrd="2" destOrd="0" presId="urn:microsoft.com/office/officeart/2005/8/layout/hProcess9"/>
    <dgm:cxn modelId="{77304830-B04A-4968-91FA-0AA576C3334D}" type="presParOf" srcId="{48B00341-AD12-4B23-BCA6-C1ECB190C74A}" destId="{08FD958D-0676-44CA-B872-013381D40851}" srcOrd="3" destOrd="0" presId="urn:microsoft.com/office/officeart/2005/8/layout/hProcess9"/>
    <dgm:cxn modelId="{9946B32A-7280-4751-AF48-1C355BC659ED}" type="presParOf" srcId="{48B00341-AD12-4B23-BCA6-C1ECB190C74A}" destId="{AAC81C8A-3E8F-4D0A-BECE-CBAC06B36F5F}" srcOrd="4" destOrd="0" presId="urn:microsoft.com/office/officeart/2005/8/layout/hProcess9"/>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E3CD99-D3D6-485E-B6D8-2D5BB890A0D1}">
      <dsp:nvSpPr>
        <dsp:cNvPr id="0" name=""/>
        <dsp:cNvSpPr/>
      </dsp:nvSpPr>
      <dsp:spPr>
        <a:xfrm>
          <a:off x="2820225" y="124715"/>
          <a:ext cx="2975980" cy="1065909"/>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ES" sz="1050" kern="1200">
              <a:solidFill>
                <a:schemeClr val="tx1">
                  <a:lumMod val="75000"/>
                  <a:lumOff val="25000"/>
                </a:schemeClr>
              </a:solidFill>
              <a:latin typeface="Arial" panose="020B0604020202020204" pitchFamily="34" charset="0"/>
              <a:cs typeface="Arial" panose="020B0604020202020204" pitchFamily="34" charset="0"/>
            </a:rPr>
            <a:t>Se entregaron a la comunidad 62 obras a satisfacción durante la vigencia 2016 y 2017. </a:t>
          </a:r>
        </a:p>
        <a:p>
          <a:pPr marL="0" lvl="0" indent="0" algn="ctr" defTabSz="466725">
            <a:lnSpc>
              <a:spcPct val="90000"/>
            </a:lnSpc>
            <a:spcBef>
              <a:spcPct val="0"/>
            </a:spcBef>
            <a:spcAft>
              <a:spcPct val="35000"/>
            </a:spcAft>
            <a:buNone/>
          </a:pPr>
          <a:r>
            <a:rPr lang="es-ES" sz="1050" kern="1200">
              <a:solidFill>
                <a:schemeClr val="tx1">
                  <a:lumMod val="75000"/>
                  <a:lumOff val="25000"/>
                </a:schemeClr>
              </a:solidFill>
              <a:latin typeface="Arial" panose="020B0604020202020204" pitchFamily="34" charset="0"/>
              <a:cs typeface="Arial" panose="020B0604020202020204" pitchFamily="34" charset="0"/>
            </a:rPr>
            <a:t>Se continua con el seguimiento y control a la estabilidad y sostenibilidad de las obras.</a:t>
          </a:r>
          <a:endParaRPr lang="es-CO" sz="1050" kern="1200">
            <a:solidFill>
              <a:schemeClr val="tx1">
                <a:lumMod val="75000"/>
                <a:lumOff val="25000"/>
              </a:schemeClr>
            </a:solidFill>
            <a:latin typeface="Arial" panose="020B0604020202020204" pitchFamily="34" charset="0"/>
            <a:ea typeface="Tahoma" panose="020B0604030504040204" pitchFamily="34" charset="0"/>
            <a:cs typeface="Arial" panose="020B0604020202020204" pitchFamily="34" charset="0"/>
          </a:endParaRPr>
        </a:p>
      </dsp:txBody>
      <dsp:txXfrm>
        <a:off x="2820225" y="124715"/>
        <a:ext cx="2975980" cy="1065909"/>
      </dsp:txXfrm>
    </dsp:sp>
    <dsp:sp modelId="{DF65DEC5-66DE-4DC0-82D0-7E39A000D76B}">
      <dsp:nvSpPr>
        <dsp:cNvPr id="0" name=""/>
        <dsp:cNvSpPr/>
      </dsp:nvSpPr>
      <dsp:spPr>
        <a:xfrm>
          <a:off x="202015" y="74024"/>
          <a:ext cx="1976420" cy="1793257"/>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9000" b="-4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476121-23B5-45BD-9B92-6175E906D044}">
      <dsp:nvSpPr>
        <dsp:cNvPr id="0" name=""/>
        <dsp:cNvSpPr/>
      </dsp:nvSpPr>
      <dsp:spPr>
        <a:xfrm>
          <a:off x="183140" y="2164985"/>
          <a:ext cx="3019338" cy="1012939"/>
        </a:xfrm>
        <a:prstGeom prst="rect">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Se presentan avances representativos en la ejecución física de las 27 obras en espacio público a escala barrial programadas con recursos de la vigencia 2016.</a:t>
          </a:r>
          <a:endParaRPr lang="es-CO" sz="1100" kern="1200">
            <a:solidFill>
              <a:schemeClr val="tx1">
                <a:lumMod val="75000"/>
                <a:lumOff val="25000"/>
              </a:schemeClr>
            </a:solidFill>
            <a:latin typeface="Arial" panose="020B0604020202020204" pitchFamily="34" charset="0"/>
            <a:cs typeface="Arial" panose="020B0604020202020204" pitchFamily="34" charset="0"/>
          </a:endParaRPr>
        </a:p>
      </dsp:txBody>
      <dsp:txXfrm>
        <a:off x="183140" y="2164985"/>
        <a:ext cx="3019338" cy="1012939"/>
      </dsp:txXfrm>
    </dsp:sp>
    <dsp:sp modelId="{8665C228-C113-4307-913E-04EEB916C4E9}">
      <dsp:nvSpPr>
        <dsp:cNvPr id="0" name=""/>
        <dsp:cNvSpPr/>
      </dsp:nvSpPr>
      <dsp:spPr>
        <a:xfrm>
          <a:off x="3677788" y="1441684"/>
          <a:ext cx="2073580" cy="176177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A00BEBB-3B9B-47DD-A156-589049899BA2}">
      <dsp:nvSpPr>
        <dsp:cNvPr id="0" name=""/>
        <dsp:cNvSpPr/>
      </dsp:nvSpPr>
      <dsp:spPr>
        <a:xfrm>
          <a:off x="2939081" y="3482240"/>
          <a:ext cx="2781367" cy="1273997"/>
        </a:xfrm>
        <a:prstGeom prst="rect">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La adjudicación de la construcción de 13 segmentos viales por Código de Identificación Vial (CIV) y la publicación de la contratación de 15 segmentos más.</a:t>
          </a:r>
        </a:p>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En igual medida se adjudicaron los procesos para efectuar las reparaciones locativas de 20 salones comunales. </a:t>
          </a:r>
          <a:endParaRPr lang="es-CO" sz="1100" kern="1200">
            <a:solidFill>
              <a:schemeClr val="tx1">
                <a:lumMod val="75000"/>
                <a:lumOff val="25000"/>
              </a:schemeClr>
            </a:solidFill>
            <a:latin typeface="Arial" panose="020B0604020202020204" pitchFamily="34" charset="0"/>
            <a:cs typeface="Arial" panose="020B0604020202020204" pitchFamily="34" charset="0"/>
          </a:endParaRPr>
        </a:p>
      </dsp:txBody>
      <dsp:txXfrm>
        <a:off x="2939081" y="3482240"/>
        <a:ext cx="2781367" cy="1273997"/>
      </dsp:txXfrm>
    </dsp:sp>
    <dsp:sp modelId="{1F9DBF33-2A1F-4F8F-AED2-40D906B46F14}">
      <dsp:nvSpPr>
        <dsp:cNvPr id="0" name=""/>
        <dsp:cNvSpPr/>
      </dsp:nvSpPr>
      <dsp:spPr>
        <a:xfrm>
          <a:off x="221454" y="3447661"/>
          <a:ext cx="1932573" cy="1628152"/>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91A980-F7FE-468C-B3F3-3FAB6646C740}">
      <dsp:nvSpPr>
        <dsp:cNvPr id="0" name=""/>
        <dsp:cNvSpPr/>
      </dsp:nvSpPr>
      <dsp:spPr>
        <a:xfrm>
          <a:off x="231261" y="5553080"/>
          <a:ext cx="3086901" cy="1421352"/>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85000"/>
                  <a:lumOff val="15000"/>
                </a:schemeClr>
              </a:solidFill>
              <a:latin typeface="Arial" panose="020B0604020202020204" pitchFamily="34" charset="0"/>
              <a:cs typeface="Arial" panose="020B0604020202020204" pitchFamily="34" charset="0"/>
            </a:rPr>
            <a:t>La proyección de pliegos y condiciones, y Anexos Técnico, Seguridad, Salud en el Trabajo y Medio Ambiente (SSTMA) y Social,  para continuar con la publicación de la contratación de 52 estudios y diseños por Código de Identificación Vial (CIV), en el mes de noviembre de 2017,.</a:t>
          </a:r>
          <a:endParaRPr lang="es-CO" sz="1100" kern="1200">
            <a:solidFill>
              <a:schemeClr val="tx1">
                <a:lumMod val="85000"/>
                <a:lumOff val="15000"/>
              </a:schemeClr>
            </a:solidFill>
            <a:latin typeface="Arial" panose="020B0604020202020204" pitchFamily="34" charset="0"/>
            <a:cs typeface="Arial" panose="020B0604020202020204" pitchFamily="34" charset="0"/>
          </a:endParaRPr>
        </a:p>
      </dsp:txBody>
      <dsp:txXfrm>
        <a:off x="231261" y="5553080"/>
        <a:ext cx="3086901" cy="1421352"/>
      </dsp:txXfrm>
    </dsp:sp>
    <dsp:sp modelId="{3114C68C-5450-4CC3-B310-1DF2D91103E0}">
      <dsp:nvSpPr>
        <dsp:cNvPr id="0" name=""/>
        <dsp:cNvSpPr/>
      </dsp:nvSpPr>
      <dsp:spPr>
        <a:xfrm>
          <a:off x="3862361" y="5198275"/>
          <a:ext cx="1845680" cy="1827887"/>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EFC826-1F4D-44A1-8203-F55478F7E276}">
      <dsp:nvSpPr>
        <dsp:cNvPr id="0" name=""/>
        <dsp:cNvSpPr/>
      </dsp:nvSpPr>
      <dsp:spPr>
        <a:xfrm>
          <a:off x="302990" y="0"/>
          <a:ext cx="3433889" cy="177165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072FD0A-6290-4C3C-A947-44E4CE7AB2ED}">
      <dsp:nvSpPr>
        <dsp:cNvPr id="0" name=""/>
        <dsp:cNvSpPr/>
      </dsp:nvSpPr>
      <dsp:spPr>
        <a:xfrm>
          <a:off x="1947" y="531494"/>
          <a:ext cx="1248799" cy="70866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a:t>
          </a:r>
        </a:p>
      </dsp:txBody>
      <dsp:txXfrm>
        <a:off x="36541" y="566088"/>
        <a:ext cx="1179611" cy="639472"/>
      </dsp:txXfrm>
    </dsp:sp>
    <dsp:sp modelId="{2E7DDC2B-8224-4F9E-A866-A58D4C1783D7}">
      <dsp:nvSpPr>
        <dsp:cNvPr id="0" name=""/>
        <dsp:cNvSpPr/>
      </dsp:nvSpPr>
      <dsp:spPr>
        <a:xfrm>
          <a:off x="1395535" y="531494"/>
          <a:ext cx="1248799" cy="708660"/>
        </a:xfrm>
        <a:prstGeom prst="round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Taller de Arquitectura</a:t>
          </a:r>
        </a:p>
      </dsp:txBody>
      <dsp:txXfrm>
        <a:off x="1430129" y="566088"/>
        <a:ext cx="1179611" cy="639472"/>
      </dsp:txXfrm>
    </dsp:sp>
    <dsp:sp modelId="{5F9CF41B-67BD-4D90-9630-B2F98723E743}">
      <dsp:nvSpPr>
        <dsp:cNvPr id="0" name=""/>
        <dsp:cNvSpPr/>
      </dsp:nvSpPr>
      <dsp:spPr>
        <a:xfrm>
          <a:off x="2789122" y="531494"/>
          <a:ext cx="1248799" cy="708660"/>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Socialización y Armonización de Diseños</a:t>
          </a:r>
        </a:p>
      </dsp:txBody>
      <dsp:txXfrm>
        <a:off x="2823716" y="566088"/>
        <a:ext cx="1179611" cy="6394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10253A-8813-41D5-84A5-BCD4899D5E63}">
      <dsp:nvSpPr>
        <dsp:cNvPr id="0" name=""/>
        <dsp:cNvSpPr/>
      </dsp:nvSpPr>
      <dsp:spPr>
        <a:xfrm>
          <a:off x="404303" y="0"/>
          <a:ext cx="4582100" cy="1860550"/>
        </a:xfrm>
        <a:prstGeom prst="rightArrow">
          <a:avLst/>
        </a:prstGeom>
        <a:solidFill>
          <a:schemeClr val="accent2">
            <a:lumMod val="40000"/>
            <a:lumOff val="60000"/>
          </a:schemeClr>
        </a:solidFill>
        <a:ln>
          <a:noFill/>
        </a:ln>
        <a:effectLst/>
      </dsp:spPr>
      <dsp:style>
        <a:lnRef idx="0">
          <a:scrgbClr r="0" g="0" b="0"/>
        </a:lnRef>
        <a:fillRef idx="1">
          <a:scrgbClr r="0" g="0" b="0"/>
        </a:fillRef>
        <a:effectRef idx="0">
          <a:scrgbClr r="0" g="0" b="0"/>
        </a:effectRef>
        <a:fontRef idx="minor"/>
      </dsp:style>
    </dsp:sp>
    <dsp:sp modelId="{B2A43B56-2315-4D45-BCEA-060F18317704}">
      <dsp:nvSpPr>
        <dsp:cNvPr id="0" name=""/>
        <dsp:cNvSpPr/>
      </dsp:nvSpPr>
      <dsp:spPr>
        <a:xfrm>
          <a:off x="1842" y="558165"/>
          <a:ext cx="1197115" cy="7442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 "Todos con la Obra"</a:t>
          </a:r>
        </a:p>
      </dsp:txBody>
      <dsp:txXfrm>
        <a:off x="38172" y="594495"/>
        <a:ext cx="1124455" cy="671560"/>
      </dsp:txXfrm>
    </dsp:sp>
    <dsp:sp modelId="{964870DB-EFBC-4B5A-B5FB-4B55B985FD02}">
      <dsp:nvSpPr>
        <dsp:cNvPr id="0" name=""/>
        <dsp:cNvSpPr/>
      </dsp:nvSpPr>
      <dsp:spPr>
        <a:xfrm>
          <a:off x="1398477" y="558165"/>
          <a:ext cx="1197115" cy="744220"/>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Taller Pedagógico "Mi Barrio, Hábitat de Todos"</a:t>
          </a:r>
        </a:p>
      </dsp:txBody>
      <dsp:txXfrm>
        <a:off x="1434807" y="594495"/>
        <a:ext cx="1124455" cy="671560"/>
      </dsp:txXfrm>
    </dsp:sp>
    <dsp:sp modelId="{2EFAD29F-9FC6-4D82-8642-3AE597FDC324}">
      <dsp:nvSpPr>
        <dsp:cNvPr id="0" name=""/>
        <dsp:cNvSpPr/>
      </dsp:nvSpPr>
      <dsp:spPr>
        <a:xfrm>
          <a:off x="2795113" y="558165"/>
          <a:ext cx="1197115" cy="74422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Extraordinaria -Seguridad en Obra-</a:t>
          </a:r>
        </a:p>
      </dsp:txBody>
      <dsp:txXfrm>
        <a:off x="2831443" y="594495"/>
        <a:ext cx="1124455" cy="671560"/>
      </dsp:txXfrm>
    </dsp:sp>
    <dsp:sp modelId="{94BF60AB-168B-4B23-BEEB-B7986DC70BF8}">
      <dsp:nvSpPr>
        <dsp:cNvPr id="0" name=""/>
        <dsp:cNvSpPr/>
      </dsp:nvSpPr>
      <dsp:spPr>
        <a:xfrm>
          <a:off x="4191748" y="558165"/>
          <a:ext cx="1197115" cy="74422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Comites de Veeduría</a:t>
          </a:r>
        </a:p>
      </dsp:txBody>
      <dsp:txXfrm>
        <a:off x="4228078" y="594495"/>
        <a:ext cx="1124455" cy="6715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244CC7-4CFE-4061-82B9-82B7CBFD71DC}">
      <dsp:nvSpPr>
        <dsp:cNvPr id="0" name=""/>
        <dsp:cNvSpPr/>
      </dsp:nvSpPr>
      <dsp:spPr>
        <a:xfrm>
          <a:off x="1287171" y="1814"/>
          <a:ext cx="647321" cy="42075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Tres Reyes</a:t>
          </a:r>
        </a:p>
      </dsp:txBody>
      <dsp:txXfrm>
        <a:off x="1307711" y="22354"/>
        <a:ext cx="606241" cy="379679"/>
      </dsp:txXfrm>
    </dsp:sp>
    <dsp:sp modelId="{E498BF95-66E0-4EE3-8136-4E6A7DA0E801}">
      <dsp:nvSpPr>
        <dsp:cNvPr id="0" name=""/>
        <dsp:cNvSpPr/>
      </dsp:nvSpPr>
      <dsp:spPr>
        <a:xfrm>
          <a:off x="770838" y="212193"/>
          <a:ext cx="1679988" cy="1679988"/>
        </a:xfrm>
        <a:custGeom>
          <a:avLst/>
          <a:gdLst/>
          <a:ahLst/>
          <a:cxnLst/>
          <a:rect l="0" t="0" r="0" b="0"/>
          <a:pathLst>
            <a:path>
              <a:moveTo>
                <a:pt x="1168093" y="66727"/>
              </a:moveTo>
              <a:arcTo wR="839994" hR="839994" stAng="17579502" swAng="1959637"/>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853A272-8632-46C9-A78E-A271771F3BE8}">
      <dsp:nvSpPr>
        <dsp:cNvPr id="0" name=""/>
        <dsp:cNvSpPr/>
      </dsp:nvSpPr>
      <dsp:spPr>
        <a:xfrm>
          <a:off x="2086053" y="582235"/>
          <a:ext cx="647321" cy="420759"/>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Ramajal</a:t>
          </a:r>
        </a:p>
      </dsp:txBody>
      <dsp:txXfrm>
        <a:off x="2106593" y="602775"/>
        <a:ext cx="606241" cy="379679"/>
      </dsp:txXfrm>
    </dsp:sp>
    <dsp:sp modelId="{DE8D52C3-B11D-4D77-BAAC-294D3799DB3E}">
      <dsp:nvSpPr>
        <dsp:cNvPr id="0" name=""/>
        <dsp:cNvSpPr/>
      </dsp:nvSpPr>
      <dsp:spPr>
        <a:xfrm>
          <a:off x="770838" y="212193"/>
          <a:ext cx="1679988" cy="1679988"/>
        </a:xfrm>
        <a:custGeom>
          <a:avLst/>
          <a:gdLst/>
          <a:ahLst/>
          <a:cxnLst/>
          <a:rect l="0" t="0" r="0" b="0"/>
          <a:pathLst>
            <a:path>
              <a:moveTo>
                <a:pt x="1678844" y="796167"/>
              </a:moveTo>
              <a:arcTo wR="839994" hR="839994" stAng="21420554" swAng="2194842"/>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B6B8E3-F57E-43F1-92C6-4A9DC3C75657}">
      <dsp:nvSpPr>
        <dsp:cNvPr id="0" name=""/>
        <dsp:cNvSpPr/>
      </dsp:nvSpPr>
      <dsp:spPr>
        <a:xfrm>
          <a:off x="1710246" y="1521377"/>
          <a:ext cx="788645" cy="420759"/>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Juan jose rendon</a:t>
          </a:r>
        </a:p>
      </dsp:txBody>
      <dsp:txXfrm>
        <a:off x="1730786" y="1541917"/>
        <a:ext cx="747565" cy="379679"/>
      </dsp:txXfrm>
    </dsp:sp>
    <dsp:sp modelId="{938DDE6E-6CE4-4D96-8D39-6CD400F51B50}">
      <dsp:nvSpPr>
        <dsp:cNvPr id="0" name=""/>
        <dsp:cNvSpPr/>
      </dsp:nvSpPr>
      <dsp:spPr>
        <a:xfrm>
          <a:off x="770838" y="212193"/>
          <a:ext cx="1679988" cy="1679988"/>
        </a:xfrm>
        <a:custGeom>
          <a:avLst/>
          <a:gdLst/>
          <a:ahLst/>
          <a:cxnLst/>
          <a:rect l="0" t="0" r="0" b="0"/>
          <a:pathLst>
            <a:path>
              <a:moveTo>
                <a:pt x="936728" y="1674399"/>
              </a:moveTo>
              <a:arcTo wR="839994" hR="839994" stAng="5003225" swAng="1086629"/>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484091A-200E-437E-8422-8EEE8FF69EDB}">
      <dsp:nvSpPr>
        <dsp:cNvPr id="0" name=""/>
        <dsp:cNvSpPr/>
      </dsp:nvSpPr>
      <dsp:spPr>
        <a:xfrm>
          <a:off x="793435" y="1521377"/>
          <a:ext cx="647321" cy="420759"/>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El Espino</a:t>
          </a:r>
        </a:p>
      </dsp:txBody>
      <dsp:txXfrm>
        <a:off x="813975" y="1541917"/>
        <a:ext cx="606241" cy="379679"/>
      </dsp:txXfrm>
    </dsp:sp>
    <dsp:sp modelId="{C54F68C8-60D1-4440-93AD-19DE2A2B3F0D}">
      <dsp:nvSpPr>
        <dsp:cNvPr id="0" name=""/>
        <dsp:cNvSpPr/>
      </dsp:nvSpPr>
      <dsp:spPr>
        <a:xfrm>
          <a:off x="770838" y="212193"/>
          <a:ext cx="1679988" cy="1679988"/>
        </a:xfrm>
        <a:custGeom>
          <a:avLst/>
          <a:gdLst/>
          <a:ahLst/>
          <a:cxnLst/>
          <a:rect l="0" t="0" r="0" b="0"/>
          <a:pathLst>
            <a:path>
              <a:moveTo>
                <a:pt x="140263" y="1304716"/>
              </a:moveTo>
              <a:arcTo wR="839994" hR="839994" stAng="8784605" swAng="2194842"/>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8CB8BB1-E7F1-4285-91F7-AE449526A4B4}">
      <dsp:nvSpPr>
        <dsp:cNvPr id="0" name=""/>
        <dsp:cNvSpPr/>
      </dsp:nvSpPr>
      <dsp:spPr>
        <a:xfrm>
          <a:off x="488289" y="582235"/>
          <a:ext cx="647321" cy="420759"/>
        </a:xfrm>
        <a:prstGeom prst="round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Islandia</a:t>
          </a:r>
        </a:p>
      </dsp:txBody>
      <dsp:txXfrm>
        <a:off x="508829" y="602775"/>
        <a:ext cx="606241" cy="379679"/>
      </dsp:txXfrm>
    </dsp:sp>
    <dsp:sp modelId="{68BB4121-D68C-458B-8E7C-15A19634D68E}">
      <dsp:nvSpPr>
        <dsp:cNvPr id="0" name=""/>
        <dsp:cNvSpPr/>
      </dsp:nvSpPr>
      <dsp:spPr>
        <a:xfrm>
          <a:off x="770838" y="212193"/>
          <a:ext cx="1679988" cy="1679988"/>
        </a:xfrm>
        <a:custGeom>
          <a:avLst/>
          <a:gdLst/>
          <a:ahLst/>
          <a:cxnLst/>
          <a:rect l="0" t="0" r="0" b="0"/>
          <a:pathLst>
            <a:path>
              <a:moveTo>
                <a:pt x="146470" y="366058"/>
              </a:moveTo>
              <a:arcTo wR="839994" hR="839994" stAng="12860862" swAng="1959637"/>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EFC826-1F4D-44A1-8203-F55478F7E276}">
      <dsp:nvSpPr>
        <dsp:cNvPr id="0" name=""/>
        <dsp:cNvSpPr/>
      </dsp:nvSpPr>
      <dsp:spPr>
        <a:xfrm>
          <a:off x="1" y="0"/>
          <a:ext cx="4933504" cy="1781175"/>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072FD0A-6290-4C3C-A947-44E4CE7AB2ED}">
      <dsp:nvSpPr>
        <dsp:cNvPr id="0" name=""/>
        <dsp:cNvSpPr/>
      </dsp:nvSpPr>
      <dsp:spPr>
        <a:xfrm>
          <a:off x="1204" y="534352"/>
          <a:ext cx="1104137" cy="71247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Reunión de Inicio</a:t>
          </a:r>
        </a:p>
      </dsp:txBody>
      <dsp:txXfrm>
        <a:off x="35984" y="569132"/>
        <a:ext cx="1034577" cy="642910"/>
      </dsp:txXfrm>
    </dsp:sp>
    <dsp:sp modelId="{2E7DDC2B-8224-4F9E-A866-A58D4C1783D7}">
      <dsp:nvSpPr>
        <dsp:cNvPr id="0" name=""/>
        <dsp:cNvSpPr/>
      </dsp:nvSpPr>
      <dsp:spPr>
        <a:xfrm>
          <a:off x="1276858" y="534352"/>
          <a:ext cx="1104137" cy="712470"/>
        </a:xfrm>
        <a:prstGeom prst="roundRect">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Comites de Veeduria</a:t>
          </a:r>
        </a:p>
      </dsp:txBody>
      <dsp:txXfrm>
        <a:off x="1311638" y="569132"/>
        <a:ext cx="1034577" cy="642910"/>
      </dsp:txXfrm>
    </dsp:sp>
    <dsp:sp modelId="{60BEC312-64DA-409B-BC4F-EE10A89B400E}">
      <dsp:nvSpPr>
        <dsp:cNvPr id="0" name=""/>
        <dsp:cNvSpPr/>
      </dsp:nvSpPr>
      <dsp:spPr>
        <a:xfrm>
          <a:off x="2552511" y="534352"/>
          <a:ext cx="1104137" cy="712470"/>
        </a:xfrm>
        <a:prstGeom prst="roundRect">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Reconocimiento de Condiciones Habitacionales</a:t>
          </a:r>
        </a:p>
      </dsp:txBody>
      <dsp:txXfrm>
        <a:off x="2587291" y="569132"/>
        <a:ext cx="1034577" cy="642910"/>
      </dsp:txXfrm>
    </dsp:sp>
    <dsp:sp modelId="{5F9CF41B-67BD-4D90-9630-B2F98723E743}">
      <dsp:nvSpPr>
        <dsp:cNvPr id="0" name=""/>
        <dsp:cNvSpPr/>
      </dsp:nvSpPr>
      <dsp:spPr>
        <a:xfrm>
          <a:off x="3828165" y="534352"/>
          <a:ext cx="1104137" cy="712470"/>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Reunión de Socialización y Armonización de Diseños</a:t>
          </a:r>
        </a:p>
      </dsp:txBody>
      <dsp:txXfrm>
        <a:off x="3862945" y="569132"/>
        <a:ext cx="1034577" cy="6429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10253A-8813-41D5-84A5-BCD4899D5E63}">
      <dsp:nvSpPr>
        <dsp:cNvPr id="0" name=""/>
        <dsp:cNvSpPr/>
      </dsp:nvSpPr>
      <dsp:spPr>
        <a:xfrm>
          <a:off x="287876" y="0"/>
          <a:ext cx="3262600" cy="1509824"/>
        </a:xfrm>
        <a:prstGeom prst="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2A43B56-2315-4D45-BCEA-060F18317704}">
      <dsp:nvSpPr>
        <dsp:cNvPr id="0" name=""/>
        <dsp:cNvSpPr/>
      </dsp:nvSpPr>
      <dsp:spPr>
        <a:xfrm>
          <a:off x="188918" y="452947"/>
          <a:ext cx="1634298" cy="60392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 "Todos con la Obra"</a:t>
          </a:r>
        </a:p>
      </dsp:txBody>
      <dsp:txXfrm>
        <a:off x="218399" y="482428"/>
        <a:ext cx="1575336" cy="544967"/>
      </dsp:txXfrm>
    </dsp:sp>
    <dsp:sp modelId="{964870DB-EFBC-4B5A-B5FB-4B55B985FD02}">
      <dsp:nvSpPr>
        <dsp:cNvPr id="0" name=""/>
        <dsp:cNvSpPr/>
      </dsp:nvSpPr>
      <dsp:spPr>
        <a:xfrm>
          <a:off x="2015135" y="452947"/>
          <a:ext cx="1634298" cy="603929"/>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Comités Mensuales de Veeduria Ciudadana.</a:t>
          </a:r>
        </a:p>
      </dsp:txBody>
      <dsp:txXfrm>
        <a:off x="2044616" y="482428"/>
        <a:ext cx="1575336" cy="54496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054952-5EAD-4992-BE61-082274B96AB6}">
      <dsp:nvSpPr>
        <dsp:cNvPr id="0" name=""/>
        <dsp:cNvSpPr/>
      </dsp:nvSpPr>
      <dsp:spPr>
        <a:xfrm>
          <a:off x="1384" y="28841"/>
          <a:ext cx="1303122" cy="1303122"/>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1715" tIns="15240" rIns="71715" bIns="15240" numCol="1" spcCol="1270" anchor="ctr" anchorCtr="0">
          <a:noAutofit/>
        </a:bodyPr>
        <a:lstStyle/>
        <a:p>
          <a:pPr marL="0" lvl="0" indent="0" algn="ctr" defTabSz="533400">
            <a:lnSpc>
              <a:spcPct val="90000"/>
            </a:lnSpc>
            <a:spcBef>
              <a:spcPct val="0"/>
            </a:spcBef>
            <a:spcAft>
              <a:spcPct val="35000"/>
            </a:spcAft>
            <a:buNone/>
          </a:pPr>
          <a:r>
            <a:rPr lang="es-ES" sz="1200" b="1" kern="1200"/>
            <a:t>Reunión de Finalización</a:t>
          </a:r>
        </a:p>
      </dsp:txBody>
      <dsp:txXfrm>
        <a:off x="192222" y="219679"/>
        <a:ext cx="921446" cy="921446"/>
      </dsp:txXfrm>
    </dsp:sp>
    <dsp:sp modelId="{2648A0FC-1E76-4AFB-9359-47E8B05C712B}">
      <dsp:nvSpPr>
        <dsp:cNvPr id="0" name=""/>
        <dsp:cNvSpPr/>
      </dsp:nvSpPr>
      <dsp:spPr>
        <a:xfrm>
          <a:off x="1043882" y="28841"/>
          <a:ext cx="1506162" cy="1303122"/>
        </a:xfrm>
        <a:prstGeom prst="ellipse">
          <a:avLst/>
        </a:prstGeom>
        <a:solidFill>
          <a:schemeClr val="accent4">
            <a:alpha val="50000"/>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1715" tIns="15240" rIns="71715" bIns="15240" numCol="1" spcCol="1270" anchor="ctr" anchorCtr="0">
          <a:noAutofit/>
        </a:bodyPr>
        <a:lstStyle/>
        <a:p>
          <a:pPr marL="0" lvl="0" indent="0" algn="ctr" defTabSz="533400">
            <a:lnSpc>
              <a:spcPct val="90000"/>
            </a:lnSpc>
            <a:spcBef>
              <a:spcPct val="0"/>
            </a:spcBef>
            <a:spcAft>
              <a:spcPct val="35000"/>
            </a:spcAft>
            <a:buNone/>
          </a:pPr>
          <a:r>
            <a:rPr lang="es-ES" sz="1200" b="1" kern="1200"/>
            <a:t>Acuerdo de Sostenibilidad</a:t>
          </a:r>
        </a:p>
      </dsp:txBody>
      <dsp:txXfrm>
        <a:off x="1264454" y="219679"/>
        <a:ext cx="1065018" cy="92144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CB4BDD-D1EA-480B-A5C0-7099D72E8CCB}">
      <dsp:nvSpPr>
        <dsp:cNvPr id="0" name=""/>
        <dsp:cNvSpPr/>
      </dsp:nvSpPr>
      <dsp:spPr>
        <a:xfrm>
          <a:off x="260746" y="0"/>
          <a:ext cx="2955131" cy="1362075"/>
        </a:xfrm>
        <a:prstGeom prst="rightArrow">
          <a:avLst/>
        </a:prstGeom>
        <a:solidFill>
          <a:schemeClr val="tx2">
            <a:lumMod val="60000"/>
            <a:lumOff val="40000"/>
          </a:schemeClr>
        </a:solidFill>
        <a:ln>
          <a:noFill/>
        </a:ln>
        <a:effectLst/>
      </dsp:spPr>
      <dsp:style>
        <a:lnRef idx="0">
          <a:scrgbClr r="0" g="0" b="0"/>
        </a:lnRef>
        <a:fillRef idx="1">
          <a:scrgbClr r="0" g="0" b="0"/>
        </a:fillRef>
        <a:effectRef idx="0">
          <a:scrgbClr r="0" g="0" b="0"/>
        </a:effectRef>
        <a:fontRef idx="minor"/>
      </dsp:style>
    </dsp:sp>
    <dsp:sp modelId="{4B380D13-1DB5-4F65-B955-07A387BB8F65}">
      <dsp:nvSpPr>
        <dsp:cNvPr id="0" name=""/>
        <dsp:cNvSpPr/>
      </dsp:nvSpPr>
      <dsp:spPr>
        <a:xfrm>
          <a:off x="0" y="408622"/>
          <a:ext cx="1042987" cy="544830"/>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0" kern="1200" cap="none" spc="0">
              <a:ln w="0"/>
              <a:solidFill>
                <a:schemeClr val="tx1"/>
              </a:solidFill>
              <a:effectLst>
                <a:outerShdw blurRad="38100" dist="19050" dir="2700000" algn="tl" rotWithShape="0">
                  <a:schemeClr val="dk1">
                    <a:alpha val="40000"/>
                  </a:schemeClr>
                </a:outerShdw>
              </a:effectLst>
            </a:rPr>
            <a:t>Reunion Arte Urbano</a:t>
          </a:r>
        </a:p>
      </dsp:txBody>
      <dsp:txXfrm>
        <a:off x="26596" y="435218"/>
        <a:ext cx="989795" cy="491638"/>
      </dsp:txXfrm>
    </dsp:sp>
    <dsp:sp modelId="{2ECD6853-B875-4C6A-8A04-88EA430115CD}">
      <dsp:nvSpPr>
        <dsp:cNvPr id="0" name=""/>
        <dsp:cNvSpPr/>
      </dsp:nvSpPr>
      <dsp:spPr>
        <a:xfrm>
          <a:off x="1216818" y="408622"/>
          <a:ext cx="1042987" cy="544830"/>
        </a:xfrm>
        <a:prstGeom prst="round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a:t>Comites de Veeduria</a:t>
          </a:r>
        </a:p>
      </dsp:txBody>
      <dsp:txXfrm>
        <a:off x="1243414" y="435218"/>
        <a:ext cx="989795" cy="491638"/>
      </dsp:txXfrm>
    </dsp:sp>
    <dsp:sp modelId="{AAC81C8A-3E8F-4D0A-BECE-CBAC06B36F5F}">
      <dsp:nvSpPr>
        <dsp:cNvPr id="0" name=""/>
        <dsp:cNvSpPr/>
      </dsp:nvSpPr>
      <dsp:spPr>
        <a:xfrm>
          <a:off x="2433637" y="408622"/>
          <a:ext cx="1042987" cy="544830"/>
        </a:xfrm>
        <a:prstGeom prst="roundRect">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0" kern="1200" cap="none" spc="0">
              <a:ln w="0"/>
              <a:solidFill>
                <a:schemeClr val="tx1"/>
              </a:solidFill>
              <a:effectLst>
                <a:outerShdw blurRad="38100" dist="19050" dir="2700000" algn="tl" rotWithShape="0">
                  <a:schemeClr val="dk1">
                    <a:alpha val="40000"/>
                  </a:schemeClr>
                </a:outerShdw>
              </a:effectLst>
            </a:rPr>
            <a:t>Pacto de Sostenibilidad</a:t>
          </a:r>
        </a:p>
      </dsp:txBody>
      <dsp:txXfrm>
        <a:off x="2460233" y="435218"/>
        <a:ext cx="989795" cy="49163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0.22098</cdr:x>
      <cdr:y>0</cdr:y>
    </cdr:from>
    <cdr:to>
      <cdr:x>0.82878</cdr:x>
      <cdr:y>0.13199</cdr:y>
    </cdr:to>
    <cdr:sp macro="" textlink="">
      <cdr:nvSpPr>
        <cdr:cNvPr id="2" name="1 CuadroTexto"/>
        <cdr:cNvSpPr txBox="1"/>
      </cdr:nvSpPr>
      <cdr:spPr>
        <a:xfrm xmlns:a="http://schemas.openxmlformats.org/drawingml/2006/main">
          <a:off x="1224992" y="0"/>
          <a:ext cx="3369369" cy="2242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CO" sz="1200" b="1"/>
            <a:t>COMPARATIVO</a:t>
          </a:r>
          <a:r>
            <a:rPr lang="es-CO" sz="1200" b="1" baseline="0"/>
            <a:t> GASTOS OCTUBRE 2017-2016</a:t>
          </a:r>
          <a:endParaRPr lang="es-CO" sz="12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40CCDE-4323-4281-B80C-DA0497290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186</Pages>
  <Words>39186</Words>
  <Characters>215524</Characters>
  <Application>Microsoft Office Word</Application>
  <DocSecurity>0</DocSecurity>
  <Lines>1796</Lines>
  <Paragraphs>508</Paragraphs>
  <ScaleCrop>false</ScaleCrop>
  <HeadingPairs>
    <vt:vector size="2" baseType="variant">
      <vt:variant>
        <vt:lpstr>Título</vt:lpstr>
      </vt:variant>
      <vt:variant>
        <vt:i4>1</vt:i4>
      </vt:variant>
    </vt:vector>
  </HeadingPairs>
  <TitlesOfParts>
    <vt:vector size="1" baseType="lpstr">
      <vt:lpstr>Informe CVP</vt:lpstr>
    </vt:vector>
  </TitlesOfParts>
  <Company>Hewlett-Packard</Company>
  <LinksUpToDate>false</LinksUpToDate>
  <CharactersWithSpaces>254202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CVP</dc:title>
  <dc:creator>CVP Control Interno</dc:creator>
  <cp:keywords>Formato</cp:keywords>
  <cp:lastModifiedBy>Claudia Marcela García</cp:lastModifiedBy>
  <cp:revision>42</cp:revision>
  <cp:lastPrinted>2017-11-07T15:33:00Z</cp:lastPrinted>
  <dcterms:created xsi:type="dcterms:W3CDTF">2017-11-20T17:41:00Z</dcterms:created>
  <dcterms:modified xsi:type="dcterms:W3CDTF">2017-11-30T19:44:00Z</dcterms:modified>
</cp:coreProperties>
</file>