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EB237" w14:textId="77777777" w:rsidR="00635C59" w:rsidRDefault="00635C59" w:rsidP="00791BE0">
      <w:pPr>
        <w:jc w:val="both"/>
      </w:pPr>
      <w:bookmarkStart w:id="0" w:name="_GoBack"/>
      <w:bookmarkEnd w:id="0"/>
    </w:p>
    <w:p w14:paraId="17EDBA5F" w14:textId="2B76F4EB" w:rsidR="00791BE0" w:rsidRPr="00635C59" w:rsidRDefault="00791BE0" w:rsidP="00635C59">
      <w:pPr>
        <w:jc w:val="both"/>
        <w:rPr>
          <w:sz w:val="24"/>
          <w:szCs w:val="24"/>
        </w:rPr>
      </w:pPr>
      <w:r w:rsidRPr="00635C59">
        <w:rPr>
          <w:sz w:val="24"/>
          <w:szCs w:val="24"/>
        </w:rPr>
        <w:t>El presente concepto se presenta ate el Comité Institucional de Gestión y Desempeño de la Caja de la Vivienda Popular para sustentar técnicamente desde la Subdirección Administrativa – Gestión Documental, la eliminación de las series documentales de la Entidad.</w:t>
      </w:r>
    </w:p>
    <w:p w14:paraId="0B610145" w14:textId="7F572C46" w:rsidR="00791BE0" w:rsidRPr="00635C59" w:rsidRDefault="00791BE0" w:rsidP="00635C59">
      <w:pPr>
        <w:jc w:val="center"/>
        <w:rPr>
          <w:b/>
          <w:bCs/>
          <w:sz w:val="24"/>
          <w:szCs w:val="24"/>
        </w:rPr>
      </w:pPr>
      <w:r w:rsidRPr="00635C59">
        <w:rPr>
          <w:b/>
          <w:bCs/>
          <w:sz w:val="24"/>
          <w:szCs w:val="24"/>
        </w:rPr>
        <w:t>ANTECEDENTES</w:t>
      </w:r>
    </w:p>
    <w:p w14:paraId="02555C5A" w14:textId="3DE40BAC" w:rsidR="00F05345" w:rsidRPr="00635C59" w:rsidRDefault="00791BE0" w:rsidP="00635C59">
      <w:pPr>
        <w:jc w:val="both"/>
        <w:rPr>
          <w:sz w:val="24"/>
          <w:szCs w:val="24"/>
        </w:rPr>
      </w:pPr>
      <w:r w:rsidRPr="00635C59">
        <w:rPr>
          <w:sz w:val="24"/>
          <w:szCs w:val="24"/>
        </w:rPr>
        <w:t>Para elaborar el presente concepto técnico para la eliminación de algunas series documentales de la Caja de la Vivienda Popular y sustentar ante el Comité Institucional de Gestión y Desempeño</w:t>
      </w:r>
      <w:r w:rsidR="00E05C62" w:rsidRPr="00635C59">
        <w:rPr>
          <w:sz w:val="24"/>
          <w:szCs w:val="24"/>
        </w:rPr>
        <w:t>, se tuvieron en cuenta los siguientes aspectos:</w:t>
      </w:r>
    </w:p>
    <w:p w14:paraId="5C7F9907" w14:textId="0019E7BE" w:rsidR="000405C8" w:rsidRPr="00635C59" w:rsidRDefault="00536173" w:rsidP="00635C59">
      <w:pPr>
        <w:pStyle w:val="Prrafodelista"/>
        <w:numPr>
          <w:ilvl w:val="0"/>
          <w:numId w:val="5"/>
        </w:numPr>
        <w:jc w:val="both"/>
        <w:rPr>
          <w:sz w:val="24"/>
          <w:szCs w:val="24"/>
        </w:rPr>
      </w:pPr>
      <w:r w:rsidRPr="00635C59">
        <w:rPr>
          <w:sz w:val="24"/>
          <w:szCs w:val="24"/>
        </w:rPr>
        <w:t xml:space="preserve">Que la Entidad inicia implementación </w:t>
      </w:r>
      <w:r w:rsidR="004914CB" w:rsidRPr="00635C59">
        <w:rPr>
          <w:sz w:val="24"/>
          <w:szCs w:val="24"/>
        </w:rPr>
        <w:t xml:space="preserve">y aplicación de las Tablas de Retención Documental – TRD, con el fin de garantizar la organización y eliminación de </w:t>
      </w:r>
      <w:r w:rsidR="00775BD1" w:rsidRPr="00635C59">
        <w:rPr>
          <w:sz w:val="24"/>
          <w:szCs w:val="24"/>
        </w:rPr>
        <w:t>l</w:t>
      </w:r>
      <w:r w:rsidR="004914CB" w:rsidRPr="00635C59">
        <w:rPr>
          <w:sz w:val="24"/>
          <w:szCs w:val="24"/>
        </w:rPr>
        <w:t xml:space="preserve">a </w:t>
      </w:r>
      <w:r w:rsidR="00775BD1" w:rsidRPr="00635C59">
        <w:rPr>
          <w:sz w:val="24"/>
          <w:szCs w:val="24"/>
        </w:rPr>
        <w:t>documentación.</w:t>
      </w:r>
    </w:p>
    <w:p w14:paraId="7F0107B3" w14:textId="1F45A019" w:rsidR="00536173" w:rsidRPr="00635C59" w:rsidRDefault="00536173" w:rsidP="00635C59">
      <w:pPr>
        <w:pStyle w:val="Prrafodelista"/>
        <w:numPr>
          <w:ilvl w:val="0"/>
          <w:numId w:val="5"/>
        </w:numPr>
        <w:jc w:val="both"/>
        <w:rPr>
          <w:sz w:val="24"/>
          <w:szCs w:val="24"/>
        </w:rPr>
      </w:pPr>
      <w:r w:rsidRPr="00635C59">
        <w:rPr>
          <w:sz w:val="24"/>
          <w:szCs w:val="24"/>
        </w:rPr>
        <w:t xml:space="preserve"> </w:t>
      </w:r>
      <w:r w:rsidR="00775BD1" w:rsidRPr="00635C59">
        <w:rPr>
          <w:sz w:val="24"/>
          <w:szCs w:val="24"/>
        </w:rPr>
        <w:t xml:space="preserve">Que revisados los tiempos de retención de cada serie </w:t>
      </w:r>
      <w:r w:rsidR="003123FD" w:rsidRPr="00635C59">
        <w:rPr>
          <w:sz w:val="24"/>
          <w:szCs w:val="24"/>
        </w:rPr>
        <w:t>documental relacionadas</w:t>
      </w:r>
      <w:r w:rsidR="00775BD1" w:rsidRPr="00635C59">
        <w:rPr>
          <w:sz w:val="24"/>
          <w:szCs w:val="24"/>
        </w:rPr>
        <w:t xml:space="preserve"> en el presente concepto técnico, se determina que estas han cumplido con su tiempo de retención de acuerdo</w:t>
      </w:r>
      <w:r w:rsidR="003123FD" w:rsidRPr="00635C59">
        <w:rPr>
          <w:sz w:val="24"/>
          <w:szCs w:val="24"/>
        </w:rPr>
        <w:t xml:space="preserve"> con las Tabas de Retención Documental – TRD</w:t>
      </w:r>
      <w:r w:rsidR="00AD0A48" w:rsidRPr="00635C59">
        <w:rPr>
          <w:sz w:val="24"/>
          <w:szCs w:val="24"/>
        </w:rPr>
        <w:t xml:space="preserve"> del 2015 y 2019</w:t>
      </w:r>
      <w:r w:rsidR="003123FD" w:rsidRPr="00635C59">
        <w:rPr>
          <w:sz w:val="24"/>
          <w:szCs w:val="24"/>
        </w:rPr>
        <w:t xml:space="preserve"> de la Entidad.</w:t>
      </w:r>
    </w:p>
    <w:p w14:paraId="35A1B243" w14:textId="4525F26F" w:rsidR="003123FD" w:rsidRPr="00635C59" w:rsidRDefault="003123FD" w:rsidP="00635C59">
      <w:pPr>
        <w:jc w:val="both"/>
        <w:rPr>
          <w:sz w:val="24"/>
          <w:szCs w:val="24"/>
        </w:rPr>
      </w:pPr>
      <w:r w:rsidRPr="00635C59">
        <w:rPr>
          <w:sz w:val="24"/>
          <w:szCs w:val="24"/>
        </w:rPr>
        <w:t xml:space="preserve">Se pone a disposición de Comité, la aprobación para la eliminación de las series </w:t>
      </w:r>
      <w:r w:rsidR="008E14EB" w:rsidRPr="00635C59">
        <w:rPr>
          <w:sz w:val="24"/>
          <w:szCs w:val="24"/>
        </w:rPr>
        <w:t>documentales que</w:t>
      </w:r>
      <w:r w:rsidRPr="00635C59">
        <w:rPr>
          <w:sz w:val="24"/>
          <w:szCs w:val="24"/>
        </w:rPr>
        <w:t xml:space="preserve"> se relacionan a continuación, para lo cual, se tuvo en cuenta</w:t>
      </w:r>
      <w:r w:rsidR="008E14EB" w:rsidRPr="00635C59">
        <w:rPr>
          <w:sz w:val="24"/>
          <w:szCs w:val="24"/>
        </w:rPr>
        <w:t xml:space="preserve"> los tiempos de retención y la disposición final </w:t>
      </w:r>
      <w:r w:rsidR="008C0052" w:rsidRPr="00635C59">
        <w:rPr>
          <w:sz w:val="24"/>
          <w:szCs w:val="24"/>
        </w:rPr>
        <w:t>determinada en la Tablas de Retención Documental de la entidad así:</w:t>
      </w:r>
    </w:p>
    <w:tbl>
      <w:tblPr>
        <w:tblStyle w:val="Tablaconcuadrcula"/>
        <w:tblW w:w="10201" w:type="dxa"/>
        <w:tblLayout w:type="fixed"/>
        <w:tblLook w:val="04A0" w:firstRow="1" w:lastRow="0" w:firstColumn="1" w:lastColumn="0" w:noHBand="0" w:noVBand="1"/>
      </w:tblPr>
      <w:tblGrid>
        <w:gridCol w:w="1545"/>
        <w:gridCol w:w="156"/>
        <w:gridCol w:w="1696"/>
        <w:gridCol w:w="1418"/>
        <w:gridCol w:w="1559"/>
        <w:gridCol w:w="1985"/>
        <w:gridCol w:w="1842"/>
      </w:tblGrid>
      <w:tr w:rsidR="00F326C2" w:rsidRPr="007A3A62" w14:paraId="79FAAFD5" w14:textId="77777777" w:rsidTr="00635C59">
        <w:trPr>
          <w:trHeight w:val="900"/>
          <w:tblHeader/>
        </w:trPr>
        <w:tc>
          <w:tcPr>
            <w:tcW w:w="1545" w:type="dxa"/>
            <w:hideMark/>
          </w:tcPr>
          <w:p w14:paraId="3F6A6A7F" w14:textId="77777777" w:rsidR="00F326C2" w:rsidRPr="007A3A62" w:rsidRDefault="00F326C2" w:rsidP="007A3A62">
            <w:pPr>
              <w:jc w:val="center"/>
              <w:rPr>
                <w:b/>
                <w:bCs/>
              </w:rPr>
            </w:pPr>
            <w:bookmarkStart w:id="1" w:name="_Hlk185450797"/>
            <w:r w:rsidRPr="007A3A62">
              <w:rPr>
                <w:b/>
                <w:bCs/>
              </w:rPr>
              <w:t>CÓDIGO SERIE DOCUMENTAL</w:t>
            </w:r>
          </w:p>
        </w:tc>
        <w:tc>
          <w:tcPr>
            <w:tcW w:w="1852" w:type="dxa"/>
            <w:gridSpan w:val="2"/>
            <w:hideMark/>
          </w:tcPr>
          <w:p w14:paraId="70844E18" w14:textId="77777777" w:rsidR="00F326C2" w:rsidRPr="007A3A62" w:rsidRDefault="00F326C2" w:rsidP="007A3A62">
            <w:pPr>
              <w:jc w:val="center"/>
              <w:rPr>
                <w:b/>
                <w:bCs/>
              </w:rPr>
            </w:pPr>
            <w:r w:rsidRPr="007A3A62">
              <w:rPr>
                <w:b/>
                <w:bCs/>
              </w:rPr>
              <w:t>SERIE, SUBSERIE Y TIPOS DOCUMENTALES</w:t>
            </w:r>
          </w:p>
        </w:tc>
        <w:tc>
          <w:tcPr>
            <w:tcW w:w="1418" w:type="dxa"/>
          </w:tcPr>
          <w:p w14:paraId="36C7B6F7" w14:textId="48C93B1B" w:rsidR="00F326C2" w:rsidRPr="007A3A62" w:rsidRDefault="00F326C2" w:rsidP="007A3A62">
            <w:pPr>
              <w:jc w:val="center"/>
              <w:rPr>
                <w:b/>
                <w:bCs/>
              </w:rPr>
            </w:pPr>
            <w:r>
              <w:rPr>
                <w:b/>
                <w:bCs/>
              </w:rPr>
              <w:t>AÑO</w:t>
            </w:r>
          </w:p>
        </w:tc>
        <w:tc>
          <w:tcPr>
            <w:tcW w:w="1559" w:type="dxa"/>
            <w:hideMark/>
          </w:tcPr>
          <w:p w14:paraId="1EB4E542" w14:textId="761C4D20" w:rsidR="00F326C2" w:rsidRPr="007A3A62" w:rsidRDefault="00F326C2" w:rsidP="007A3A62">
            <w:pPr>
              <w:jc w:val="center"/>
              <w:rPr>
                <w:b/>
                <w:bCs/>
              </w:rPr>
            </w:pPr>
            <w:r w:rsidRPr="007A3A62">
              <w:rPr>
                <w:b/>
                <w:bCs/>
              </w:rPr>
              <w:t>TIEMPO DE RETENCIÓN EN LA TRD</w:t>
            </w:r>
          </w:p>
        </w:tc>
        <w:tc>
          <w:tcPr>
            <w:tcW w:w="1985" w:type="dxa"/>
            <w:hideMark/>
          </w:tcPr>
          <w:p w14:paraId="1CCBD63E" w14:textId="77777777" w:rsidR="00F326C2" w:rsidRPr="007A3A62" w:rsidRDefault="00F326C2" w:rsidP="007A3A62">
            <w:pPr>
              <w:jc w:val="center"/>
              <w:rPr>
                <w:b/>
                <w:bCs/>
              </w:rPr>
            </w:pPr>
            <w:r w:rsidRPr="007A3A62">
              <w:rPr>
                <w:b/>
                <w:bCs/>
              </w:rPr>
              <w:t>TRD APLICADA</w:t>
            </w:r>
          </w:p>
        </w:tc>
        <w:tc>
          <w:tcPr>
            <w:tcW w:w="1842" w:type="dxa"/>
            <w:hideMark/>
          </w:tcPr>
          <w:p w14:paraId="52E6C404" w14:textId="77777777" w:rsidR="00F326C2" w:rsidRPr="007A3A62" w:rsidRDefault="00F326C2" w:rsidP="007A3A62">
            <w:pPr>
              <w:jc w:val="center"/>
              <w:rPr>
                <w:b/>
                <w:bCs/>
              </w:rPr>
            </w:pPr>
            <w:r w:rsidRPr="007A3A62">
              <w:rPr>
                <w:b/>
                <w:bCs/>
              </w:rPr>
              <w:t>NÚMERO DE UNIDADES DOCUMENTALES A ELIMINAR</w:t>
            </w:r>
          </w:p>
        </w:tc>
      </w:tr>
      <w:tr w:rsidR="00F326C2" w:rsidRPr="007A3A62" w14:paraId="3A6EE02E" w14:textId="77777777" w:rsidTr="00635C59">
        <w:trPr>
          <w:trHeight w:val="1200"/>
        </w:trPr>
        <w:tc>
          <w:tcPr>
            <w:tcW w:w="1545" w:type="dxa"/>
            <w:hideMark/>
          </w:tcPr>
          <w:p w14:paraId="21386B2D" w14:textId="77777777" w:rsidR="00F326C2" w:rsidRPr="007A3A62" w:rsidRDefault="00F326C2" w:rsidP="007A3A62">
            <w:pPr>
              <w:jc w:val="center"/>
            </w:pPr>
            <w:r w:rsidRPr="007A3A62">
              <w:t>1110.006</w:t>
            </w:r>
          </w:p>
        </w:tc>
        <w:tc>
          <w:tcPr>
            <w:tcW w:w="1852" w:type="dxa"/>
            <w:gridSpan w:val="2"/>
            <w:hideMark/>
          </w:tcPr>
          <w:p w14:paraId="0C746D4D" w14:textId="2987350D" w:rsidR="00F326C2" w:rsidRPr="00B66EAF" w:rsidRDefault="00F326C2" w:rsidP="007A3A62">
            <w:pPr>
              <w:jc w:val="center"/>
            </w:pPr>
            <w:r w:rsidRPr="00B66EAF">
              <w:t>Anteproyecto de presupuesto</w:t>
            </w:r>
          </w:p>
        </w:tc>
        <w:tc>
          <w:tcPr>
            <w:tcW w:w="1418" w:type="dxa"/>
          </w:tcPr>
          <w:p w14:paraId="224DD54C" w14:textId="0E8F0D71" w:rsidR="00F326C2" w:rsidRPr="00B66EAF" w:rsidRDefault="00F326C2" w:rsidP="007A3A62">
            <w:pPr>
              <w:jc w:val="center"/>
            </w:pPr>
            <w:r w:rsidRPr="00B66EAF">
              <w:t xml:space="preserve">2010 </w:t>
            </w:r>
            <w:r w:rsidR="00840208" w:rsidRPr="00B66EAF">
              <w:t>al</w:t>
            </w:r>
            <w:r w:rsidRPr="00B66EAF">
              <w:t xml:space="preserve"> 201</w:t>
            </w:r>
            <w:r w:rsidR="00111060" w:rsidRPr="00B66EAF">
              <w:t>7</w:t>
            </w:r>
          </w:p>
        </w:tc>
        <w:tc>
          <w:tcPr>
            <w:tcW w:w="1559" w:type="dxa"/>
            <w:hideMark/>
          </w:tcPr>
          <w:p w14:paraId="6991CF2E" w14:textId="26C302C4" w:rsidR="00F326C2" w:rsidRPr="00B66EAF" w:rsidRDefault="00F326C2" w:rsidP="007A3A62">
            <w:pPr>
              <w:jc w:val="center"/>
            </w:pPr>
            <w:r w:rsidRPr="00B66EAF">
              <w:t>5 años</w:t>
            </w:r>
          </w:p>
        </w:tc>
        <w:tc>
          <w:tcPr>
            <w:tcW w:w="1985" w:type="dxa"/>
            <w:hideMark/>
          </w:tcPr>
          <w:p w14:paraId="19C5F7FF" w14:textId="77777777" w:rsidR="00F326C2" w:rsidRPr="00B66EAF" w:rsidRDefault="00F326C2">
            <w:pPr>
              <w:jc w:val="both"/>
            </w:pPr>
            <w:r w:rsidRPr="00B66EAF">
              <w:t>Tabla de Retención Documental de la Caja de la Vivienda Popular del año 2015</w:t>
            </w:r>
          </w:p>
        </w:tc>
        <w:tc>
          <w:tcPr>
            <w:tcW w:w="1842" w:type="dxa"/>
            <w:hideMark/>
          </w:tcPr>
          <w:p w14:paraId="5AC7B4C5" w14:textId="77777777" w:rsidR="00F326C2" w:rsidRPr="007A3A62" w:rsidRDefault="00F326C2" w:rsidP="007A3A62">
            <w:pPr>
              <w:jc w:val="center"/>
            </w:pPr>
            <w:r w:rsidRPr="007A3A62">
              <w:t>9</w:t>
            </w:r>
          </w:p>
        </w:tc>
      </w:tr>
      <w:tr w:rsidR="00F326C2" w:rsidRPr="007A3A62" w14:paraId="6390D8B6" w14:textId="77777777" w:rsidTr="00635C59">
        <w:trPr>
          <w:trHeight w:val="1200"/>
        </w:trPr>
        <w:tc>
          <w:tcPr>
            <w:tcW w:w="1545" w:type="dxa"/>
            <w:hideMark/>
          </w:tcPr>
          <w:p w14:paraId="4A9B0CCB" w14:textId="77777777" w:rsidR="00F326C2" w:rsidRPr="007A3A62" w:rsidRDefault="00F326C2" w:rsidP="007A3A62">
            <w:pPr>
              <w:jc w:val="center"/>
            </w:pPr>
            <w:r w:rsidRPr="007A3A62">
              <w:lastRenderedPageBreak/>
              <w:t>116016</w:t>
            </w:r>
          </w:p>
        </w:tc>
        <w:tc>
          <w:tcPr>
            <w:tcW w:w="1852" w:type="dxa"/>
            <w:gridSpan w:val="2"/>
            <w:hideMark/>
          </w:tcPr>
          <w:p w14:paraId="3946978C" w14:textId="1832B725" w:rsidR="00F326C2" w:rsidRPr="00B66EAF" w:rsidRDefault="00F326C2" w:rsidP="007A3A62">
            <w:pPr>
              <w:jc w:val="center"/>
            </w:pPr>
            <w:r w:rsidRPr="00B66EAF">
              <w:t>Historiales de equipos – Hoja de Vida de Equipos Alquilados</w:t>
            </w:r>
          </w:p>
        </w:tc>
        <w:tc>
          <w:tcPr>
            <w:tcW w:w="1418" w:type="dxa"/>
          </w:tcPr>
          <w:p w14:paraId="5A7A48EA" w14:textId="10325CA2" w:rsidR="00F326C2" w:rsidRPr="00B66EAF" w:rsidRDefault="00B66EAF" w:rsidP="007A3A62">
            <w:pPr>
              <w:jc w:val="center"/>
            </w:pPr>
            <w:r w:rsidRPr="00B66EAF">
              <w:t xml:space="preserve">2013 </w:t>
            </w:r>
          </w:p>
        </w:tc>
        <w:tc>
          <w:tcPr>
            <w:tcW w:w="1559" w:type="dxa"/>
            <w:hideMark/>
          </w:tcPr>
          <w:p w14:paraId="64309A7E" w14:textId="1EFC9203" w:rsidR="00F326C2" w:rsidRPr="00B66EAF" w:rsidRDefault="00F326C2" w:rsidP="007A3A62">
            <w:pPr>
              <w:jc w:val="center"/>
            </w:pPr>
            <w:r w:rsidRPr="00B66EAF">
              <w:t>10 años</w:t>
            </w:r>
          </w:p>
        </w:tc>
        <w:tc>
          <w:tcPr>
            <w:tcW w:w="1985" w:type="dxa"/>
            <w:hideMark/>
          </w:tcPr>
          <w:p w14:paraId="37A3BC4D" w14:textId="77777777" w:rsidR="00F326C2" w:rsidRPr="00B66EAF" w:rsidRDefault="00F326C2">
            <w:pPr>
              <w:jc w:val="both"/>
            </w:pPr>
            <w:r w:rsidRPr="00B66EAF">
              <w:t>Tabla de Retención Documental de la Caja de la Vivienda Popular del año 2019</w:t>
            </w:r>
          </w:p>
        </w:tc>
        <w:tc>
          <w:tcPr>
            <w:tcW w:w="1842" w:type="dxa"/>
            <w:hideMark/>
          </w:tcPr>
          <w:p w14:paraId="1F7B985D" w14:textId="77777777" w:rsidR="00F326C2" w:rsidRPr="007A3A62" w:rsidRDefault="00F326C2" w:rsidP="007A3A62">
            <w:pPr>
              <w:jc w:val="center"/>
            </w:pPr>
            <w:r w:rsidRPr="007A3A62">
              <w:t>2</w:t>
            </w:r>
          </w:p>
        </w:tc>
      </w:tr>
      <w:tr w:rsidR="00F326C2" w:rsidRPr="007A3A62" w14:paraId="0C2C5C8A" w14:textId="77777777" w:rsidTr="00635C59">
        <w:trPr>
          <w:trHeight w:val="1200"/>
        </w:trPr>
        <w:tc>
          <w:tcPr>
            <w:tcW w:w="1545" w:type="dxa"/>
            <w:hideMark/>
          </w:tcPr>
          <w:p w14:paraId="46D6AF69" w14:textId="77777777" w:rsidR="00F326C2" w:rsidRPr="007A3A62" w:rsidRDefault="00F326C2" w:rsidP="007A3A62">
            <w:pPr>
              <w:jc w:val="center"/>
            </w:pPr>
            <w:r w:rsidRPr="007A3A62">
              <w:t>1700.018</w:t>
            </w:r>
          </w:p>
        </w:tc>
        <w:tc>
          <w:tcPr>
            <w:tcW w:w="1852" w:type="dxa"/>
            <w:gridSpan w:val="2"/>
            <w:hideMark/>
          </w:tcPr>
          <w:p w14:paraId="35141B33" w14:textId="33A3FD4A" w:rsidR="00F326C2" w:rsidRPr="00B66EAF" w:rsidRDefault="00F326C2" w:rsidP="007A3A62">
            <w:pPr>
              <w:jc w:val="center"/>
            </w:pPr>
            <w:r w:rsidRPr="00B66EAF">
              <w:t>Consecutivo de comunicaciones oficiales</w:t>
            </w:r>
          </w:p>
        </w:tc>
        <w:tc>
          <w:tcPr>
            <w:tcW w:w="1418" w:type="dxa"/>
          </w:tcPr>
          <w:p w14:paraId="26332A30" w14:textId="53C8EA76" w:rsidR="00F326C2" w:rsidRPr="00B66EAF" w:rsidRDefault="00F326C2" w:rsidP="007A3A62">
            <w:pPr>
              <w:jc w:val="center"/>
            </w:pPr>
            <w:r w:rsidRPr="00B66EAF">
              <w:t>2011 al 2014</w:t>
            </w:r>
          </w:p>
        </w:tc>
        <w:tc>
          <w:tcPr>
            <w:tcW w:w="1559" w:type="dxa"/>
            <w:hideMark/>
          </w:tcPr>
          <w:p w14:paraId="5F643503" w14:textId="204C3252" w:rsidR="00F326C2" w:rsidRPr="00B66EAF" w:rsidRDefault="00F326C2" w:rsidP="007A3A62">
            <w:pPr>
              <w:jc w:val="center"/>
            </w:pPr>
            <w:r w:rsidRPr="00B66EAF">
              <w:t>5 años</w:t>
            </w:r>
          </w:p>
        </w:tc>
        <w:tc>
          <w:tcPr>
            <w:tcW w:w="1985" w:type="dxa"/>
            <w:hideMark/>
          </w:tcPr>
          <w:p w14:paraId="2252AADA" w14:textId="77777777" w:rsidR="00F326C2" w:rsidRPr="00B66EAF" w:rsidRDefault="00F326C2">
            <w:pPr>
              <w:jc w:val="both"/>
            </w:pPr>
            <w:r w:rsidRPr="00B66EAF">
              <w:t>Tabla de Retención Documental de la Caja de la Vivienda Popular del año 2015</w:t>
            </w:r>
          </w:p>
        </w:tc>
        <w:tc>
          <w:tcPr>
            <w:tcW w:w="1842" w:type="dxa"/>
            <w:hideMark/>
          </w:tcPr>
          <w:p w14:paraId="58714336" w14:textId="77777777" w:rsidR="00F326C2" w:rsidRPr="007A3A62" w:rsidRDefault="00F326C2" w:rsidP="007A3A62">
            <w:pPr>
              <w:jc w:val="center"/>
            </w:pPr>
            <w:r w:rsidRPr="007A3A62">
              <w:t>6</w:t>
            </w:r>
          </w:p>
        </w:tc>
      </w:tr>
      <w:tr w:rsidR="00F326C2" w:rsidRPr="007A3A62" w14:paraId="11875512" w14:textId="77777777" w:rsidTr="00635C59">
        <w:trPr>
          <w:trHeight w:val="1500"/>
        </w:trPr>
        <w:tc>
          <w:tcPr>
            <w:tcW w:w="1545" w:type="dxa"/>
            <w:hideMark/>
          </w:tcPr>
          <w:p w14:paraId="1CE6DF85" w14:textId="77777777" w:rsidR="00F326C2" w:rsidRPr="007A3A62" w:rsidRDefault="00F326C2" w:rsidP="007A3A62">
            <w:pPr>
              <w:jc w:val="center"/>
            </w:pPr>
            <w:r w:rsidRPr="007A3A62">
              <w:t>1700.039.4</w:t>
            </w:r>
          </w:p>
        </w:tc>
        <w:tc>
          <w:tcPr>
            <w:tcW w:w="1852" w:type="dxa"/>
            <w:gridSpan w:val="2"/>
            <w:hideMark/>
          </w:tcPr>
          <w:p w14:paraId="6019AC6F" w14:textId="1E69100B" w:rsidR="00F326C2" w:rsidRPr="00B66EAF" w:rsidRDefault="00F326C2" w:rsidP="007A3A62">
            <w:pPr>
              <w:jc w:val="center"/>
            </w:pPr>
            <w:r w:rsidRPr="00B66EAF">
              <w:t>Instrumentos de control/instrumentos de control de entrega y recepción de expedientes</w:t>
            </w:r>
          </w:p>
        </w:tc>
        <w:tc>
          <w:tcPr>
            <w:tcW w:w="1418" w:type="dxa"/>
          </w:tcPr>
          <w:p w14:paraId="0471B701" w14:textId="015ADCC6" w:rsidR="00F326C2" w:rsidRPr="00B66EAF" w:rsidRDefault="00840208" w:rsidP="007A3A62">
            <w:pPr>
              <w:jc w:val="center"/>
            </w:pPr>
            <w:r w:rsidRPr="00B66EAF">
              <w:t>2011 al 2015</w:t>
            </w:r>
          </w:p>
        </w:tc>
        <w:tc>
          <w:tcPr>
            <w:tcW w:w="1559" w:type="dxa"/>
            <w:hideMark/>
          </w:tcPr>
          <w:p w14:paraId="53F9043A" w14:textId="13E64856" w:rsidR="00F326C2" w:rsidRPr="00B66EAF" w:rsidRDefault="00F326C2" w:rsidP="007A3A62">
            <w:pPr>
              <w:jc w:val="center"/>
            </w:pPr>
            <w:r w:rsidRPr="00B66EAF">
              <w:t>2 años</w:t>
            </w:r>
          </w:p>
        </w:tc>
        <w:tc>
          <w:tcPr>
            <w:tcW w:w="1985" w:type="dxa"/>
            <w:hideMark/>
          </w:tcPr>
          <w:p w14:paraId="1324001C" w14:textId="77777777" w:rsidR="00F326C2" w:rsidRPr="00B66EAF" w:rsidRDefault="00F326C2">
            <w:pPr>
              <w:jc w:val="both"/>
            </w:pPr>
            <w:r w:rsidRPr="00B66EAF">
              <w:t>Tabla de Retención Documental de la Caja de la Vivienda Popular del año 2015</w:t>
            </w:r>
          </w:p>
        </w:tc>
        <w:tc>
          <w:tcPr>
            <w:tcW w:w="1842" w:type="dxa"/>
            <w:hideMark/>
          </w:tcPr>
          <w:p w14:paraId="6725003F" w14:textId="77777777" w:rsidR="00F326C2" w:rsidRPr="007A3A62" w:rsidRDefault="00F326C2" w:rsidP="007A3A62">
            <w:pPr>
              <w:jc w:val="center"/>
            </w:pPr>
            <w:r w:rsidRPr="007A3A62">
              <w:t>16</w:t>
            </w:r>
          </w:p>
        </w:tc>
      </w:tr>
      <w:tr w:rsidR="00F326C2" w:rsidRPr="007A3A62" w14:paraId="3294E999" w14:textId="77777777" w:rsidTr="00635C59">
        <w:trPr>
          <w:trHeight w:val="1200"/>
        </w:trPr>
        <w:tc>
          <w:tcPr>
            <w:tcW w:w="1545" w:type="dxa"/>
            <w:hideMark/>
          </w:tcPr>
          <w:p w14:paraId="0FD74166" w14:textId="77777777" w:rsidR="00F326C2" w:rsidRPr="007A3A62" w:rsidRDefault="00F326C2" w:rsidP="007A3A62">
            <w:pPr>
              <w:jc w:val="center"/>
            </w:pPr>
            <w:r w:rsidRPr="007A3A62">
              <w:t>1700.039.6</w:t>
            </w:r>
          </w:p>
        </w:tc>
        <w:tc>
          <w:tcPr>
            <w:tcW w:w="1852" w:type="dxa"/>
            <w:gridSpan w:val="2"/>
            <w:hideMark/>
          </w:tcPr>
          <w:p w14:paraId="4FF49FD3" w14:textId="7B5545B3" w:rsidR="00F326C2" w:rsidRPr="00B66EAF" w:rsidRDefault="00F326C2" w:rsidP="007A3A62">
            <w:pPr>
              <w:jc w:val="center"/>
            </w:pPr>
            <w:r w:rsidRPr="00B66EAF">
              <w:t>Instrumentos de control/registro de control de PQRS</w:t>
            </w:r>
          </w:p>
        </w:tc>
        <w:tc>
          <w:tcPr>
            <w:tcW w:w="1418" w:type="dxa"/>
          </w:tcPr>
          <w:p w14:paraId="51E4889A" w14:textId="5A9D0D9B" w:rsidR="00F326C2" w:rsidRPr="00B66EAF" w:rsidRDefault="00E85B4E" w:rsidP="007A3A62">
            <w:pPr>
              <w:jc w:val="center"/>
            </w:pPr>
            <w:r w:rsidRPr="00B66EAF">
              <w:t>2011</w:t>
            </w:r>
          </w:p>
        </w:tc>
        <w:tc>
          <w:tcPr>
            <w:tcW w:w="1559" w:type="dxa"/>
            <w:hideMark/>
          </w:tcPr>
          <w:p w14:paraId="76A43D36" w14:textId="198657D7" w:rsidR="00F326C2" w:rsidRPr="00B66EAF" w:rsidRDefault="00F326C2" w:rsidP="007A3A62">
            <w:pPr>
              <w:jc w:val="center"/>
            </w:pPr>
            <w:r w:rsidRPr="00B66EAF">
              <w:t>2 años</w:t>
            </w:r>
          </w:p>
        </w:tc>
        <w:tc>
          <w:tcPr>
            <w:tcW w:w="1985" w:type="dxa"/>
            <w:hideMark/>
          </w:tcPr>
          <w:p w14:paraId="15CD3F79" w14:textId="77777777" w:rsidR="00F326C2" w:rsidRPr="00B66EAF" w:rsidRDefault="00F326C2">
            <w:pPr>
              <w:jc w:val="both"/>
            </w:pPr>
            <w:r w:rsidRPr="00B66EAF">
              <w:t>Tabla de Retención Documental de la Caja de la Vivienda Popular del año 2015</w:t>
            </w:r>
          </w:p>
        </w:tc>
        <w:tc>
          <w:tcPr>
            <w:tcW w:w="1842" w:type="dxa"/>
            <w:hideMark/>
          </w:tcPr>
          <w:p w14:paraId="7E08CC5C" w14:textId="77777777" w:rsidR="00F326C2" w:rsidRPr="007A3A62" w:rsidRDefault="00F326C2" w:rsidP="007A3A62">
            <w:pPr>
              <w:jc w:val="center"/>
            </w:pPr>
            <w:r w:rsidRPr="007A3A62">
              <w:t>1</w:t>
            </w:r>
          </w:p>
        </w:tc>
      </w:tr>
      <w:tr w:rsidR="00F326C2" w:rsidRPr="007A3A62" w14:paraId="5E5B3D0E" w14:textId="77777777" w:rsidTr="00635C59">
        <w:trPr>
          <w:trHeight w:val="1200"/>
        </w:trPr>
        <w:tc>
          <w:tcPr>
            <w:tcW w:w="1545" w:type="dxa"/>
            <w:hideMark/>
          </w:tcPr>
          <w:p w14:paraId="15D255F2" w14:textId="77777777" w:rsidR="00F326C2" w:rsidRPr="007A3A62" w:rsidRDefault="00F326C2" w:rsidP="007A3A62">
            <w:pPr>
              <w:jc w:val="center"/>
            </w:pPr>
            <w:r w:rsidRPr="007A3A62">
              <w:t>1710.010</w:t>
            </w:r>
          </w:p>
        </w:tc>
        <w:tc>
          <w:tcPr>
            <w:tcW w:w="1852" w:type="dxa"/>
            <w:gridSpan w:val="2"/>
            <w:hideMark/>
          </w:tcPr>
          <w:p w14:paraId="4137E3B4" w14:textId="5131A1C8" w:rsidR="00F326C2" w:rsidRPr="00B66EAF" w:rsidRDefault="00F326C2" w:rsidP="007A3A62">
            <w:pPr>
              <w:jc w:val="center"/>
            </w:pPr>
            <w:r w:rsidRPr="00B66EAF">
              <w:t>Certificados de disponibilidad presupuestal</w:t>
            </w:r>
          </w:p>
        </w:tc>
        <w:tc>
          <w:tcPr>
            <w:tcW w:w="1418" w:type="dxa"/>
          </w:tcPr>
          <w:p w14:paraId="4D3663E9" w14:textId="3CD4AC03" w:rsidR="00F326C2" w:rsidRPr="00B66EAF" w:rsidRDefault="002D6A92" w:rsidP="007A3A62">
            <w:pPr>
              <w:jc w:val="center"/>
            </w:pPr>
            <w:r w:rsidRPr="00B66EAF">
              <w:t>2011-2012-2013</w:t>
            </w:r>
          </w:p>
        </w:tc>
        <w:tc>
          <w:tcPr>
            <w:tcW w:w="1559" w:type="dxa"/>
            <w:hideMark/>
          </w:tcPr>
          <w:p w14:paraId="18275279" w14:textId="4759704F" w:rsidR="00F326C2" w:rsidRPr="00B66EAF" w:rsidRDefault="00F326C2" w:rsidP="007A3A62">
            <w:pPr>
              <w:jc w:val="center"/>
            </w:pPr>
            <w:r w:rsidRPr="00B66EAF">
              <w:t>10 años</w:t>
            </w:r>
          </w:p>
        </w:tc>
        <w:tc>
          <w:tcPr>
            <w:tcW w:w="1985" w:type="dxa"/>
            <w:hideMark/>
          </w:tcPr>
          <w:p w14:paraId="3793BCE1" w14:textId="77777777" w:rsidR="00F326C2" w:rsidRPr="00B66EAF" w:rsidRDefault="00F326C2">
            <w:pPr>
              <w:jc w:val="both"/>
            </w:pPr>
            <w:r w:rsidRPr="00B66EAF">
              <w:t>Tabla de Retención Documental de la Caja de la Vivienda Popular del año 2015</w:t>
            </w:r>
          </w:p>
        </w:tc>
        <w:tc>
          <w:tcPr>
            <w:tcW w:w="1842" w:type="dxa"/>
            <w:hideMark/>
          </w:tcPr>
          <w:p w14:paraId="39C1E42C" w14:textId="77777777" w:rsidR="00F326C2" w:rsidRPr="007A3A62" w:rsidRDefault="00F326C2" w:rsidP="007A3A62">
            <w:pPr>
              <w:jc w:val="center"/>
            </w:pPr>
            <w:r w:rsidRPr="007A3A62">
              <w:t>44</w:t>
            </w:r>
          </w:p>
        </w:tc>
      </w:tr>
      <w:tr w:rsidR="00F326C2" w:rsidRPr="007A3A62" w14:paraId="35A13786" w14:textId="77777777" w:rsidTr="00635C59">
        <w:trPr>
          <w:trHeight w:val="1200"/>
        </w:trPr>
        <w:tc>
          <w:tcPr>
            <w:tcW w:w="1545" w:type="dxa"/>
            <w:hideMark/>
          </w:tcPr>
          <w:p w14:paraId="6D423074" w14:textId="77777777" w:rsidR="00F326C2" w:rsidRPr="007A3A62" w:rsidRDefault="00F326C2" w:rsidP="007A3A62">
            <w:pPr>
              <w:jc w:val="center"/>
            </w:pPr>
            <w:r w:rsidRPr="007A3A62">
              <w:lastRenderedPageBreak/>
              <w:t>1710.017.2</w:t>
            </w:r>
          </w:p>
        </w:tc>
        <w:tc>
          <w:tcPr>
            <w:tcW w:w="1852" w:type="dxa"/>
            <w:gridSpan w:val="2"/>
            <w:hideMark/>
          </w:tcPr>
          <w:p w14:paraId="1F49C156" w14:textId="4FBB1272" w:rsidR="00F326C2" w:rsidRPr="00B66EAF" w:rsidRDefault="00F326C2" w:rsidP="007A3A62">
            <w:pPr>
              <w:jc w:val="center"/>
            </w:pPr>
            <w:r w:rsidRPr="00B66EAF">
              <w:t>Conciliaciones de información contable</w:t>
            </w:r>
          </w:p>
        </w:tc>
        <w:tc>
          <w:tcPr>
            <w:tcW w:w="1418" w:type="dxa"/>
          </w:tcPr>
          <w:p w14:paraId="3622D84E" w14:textId="28401EE3" w:rsidR="00F326C2" w:rsidRPr="00B66EAF" w:rsidRDefault="002D6A92" w:rsidP="007A3A62">
            <w:pPr>
              <w:jc w:val="center"/>
            </w:pPr>
            <w:r w:rsidRPr="00B66EAF">
              <w:t>1999-2011</w:t>
            </w:r>
          </w:p>
        </w:tc>
        <w:tc>
          <w:tcPr>
            <w:tcW w:w="1559" w:type="dxa"/>
            <w:hideMark/>
          </w:tcPr>
          <w:p w14:paraId="6B8AC8FF" w14:textId="3AA3B9FC" w:rsidR="00F326C2" w:rsidRPr="00B66EAF" w:rsidRDefault="00F326C2" w:rsidP="007A3A62">
            <w:pPr>
              <w:jc w:val="center"/>
            </w:pPr>
            <w:r w:rsidRPr="00B66EAF">
              <w:t>12 años</w:t>
            </w:r>
          </w:p>
        </w:tc>
        <w:tc>
          <w:tcPr>
            <w:tcW w:w="1985" w:type="dxa"/>
            <w:hideMark/>
          </w:tcPr>
          <w:p w14:paraId="464DC6C9" w14:textId="77777777" w:rsidR="00F326C2" w:rsidRPr="00B66EAF" w:rsidRDefault="00F326C2">
            <w:pPr>
              <w:jc w:val="both"/>
            </w:pPr>
            <w:r w:rsidRPr="00B66EAF">
              <w:t>Tabla de Retención Documental de la Caja de la Vivienda Popular del año 2015</w:t>
            </w:r>
          </w:p>
        </w:tc>
        <w:tc>
          <w:tcPr>
            <w:tcW w:w="1842" w:type="dxa"/>
            <w:hideMark/>
          </w:tcPr>
          <w:p w14:paraId="30CFF971" w14:textId="77777777" w:rsidR="00F326C2" w:rsidRPr="007A3A62" w:rsidRDefault="00F326C2" w:rsidP="007A3A62">
            <w:pPr>
              <w:jc w:val="center"/>
            </w:pPr>
            <w:r w:rsidRPr="007A3A62">
              <w:t>5</w:t>
            </w:r>
          </w:p>
        </w:tc>
      </w:tr>
      <w:tr w:rsidR="00F326C2" w:rsidRPr="007A3A62" w14:paraId="52B4D025" w14:textId="77777777" w:rsidTr="00635C59">
        <w:trPr>
          <w:trHeight w:val="1200"/>
        </w:trPr>
        <w:tc>
          <w:tcPr>
            <w:tcW w:w="1545" w:type="dxa"/>
            <w:hideMark/>
          </w:tcPr>
          <w:p w14:paraId="04DBD07F" w14:textId="77777777" w:rsidR="00F326C2" w:rsidRPr="007A3A62" w:rsidRDefault="00F326C2" w:rsidP="007A3A62">
            <w:pPr>
              <w:jc w:val="center"/>
            </w:pPr>
            <w:r w:rsidRPr="007A3A62">
              <w:t>1710.032</w:t>
            </w:r>
          </w:p>
        </w:tc>
        <w:tc>
          <w:tcPr>
            <w:tcW w:w="1852" w:type="dxa"/>
            <w:gridSpan w:val="2"/>
            <w:hideMark/>
          </w:tcPr>
          <w:p w14:paraId="7FDA502E" w14:textId="790545C5" w:rsidR="00F326C2" w:rsidRPr="00B66EAF" w:rsidRDefault="00B66EAF" w:rsidP="007A3A62">
            <w:pPr>
              <w:jc w:val="center"/>
            </w:pPr>
            <w:r w:rsidRPr="00B66EAF">
              <w:t>CONCILIACIONES / Conciliaciones de información contable</w:t>
            </w:r>
          </w:p>
        </w:tc>
        <w:tc>
          <w:tcPr>
            <w:tcW w:w="1418" w:type="dxa"/>
          </w:tcPr>
          <w:p w14:paraId="7B1680F7" w14:textId="27C5F244" w:rsidR="00F326C2" w:rsidRPr="00B66EAF" w:rsidRDefault="00B66EAF" w:rsidP="007A3A62">
            <w:pPr>
              <w:jc w:val="center"/>
            </w:pPr>
            <w:r w:rsidRPr="00B66EAF">
              <w:t>1999 - 2011</w:t>
            </w:r>
          </w:p>
        </w:tc>
        <w:tc>
          <w:tcPr>
            <w:tcW w:w="1559" w:type="dxa"/>
            <w:hideMark/>
          </w:tcPr>
          <w:p w14:paraId="7542EFD1" w14:textId="71D1076B" w:rsidR="00F326C2" w:rsidRPr="00B66EAF" w:rsidRDefault="00F326C2" w:rsidP="007A3A62">
            <w:pPr>
              <w:jc w:val="center"/>
            </w:pPr>
            <w:r w:rsidRPr="00B66EAF">
              <w:t>12 años</w:t>
            </w:r>
          </w:p>
        </w:tc>
        <w:tc>
          <w:tcPr>
            <w:tcW w:w="1985" w:type="dxa"/>
            <w:hideMark/>
          </w:tcPr>
          <w:p w14:paraId="23F70F8D" w14:textId="77777777" w:rsidR="00F326C2" w:rsidRPr="00B66EAF" w:rsidRDefault="00F326C2">
            <w:pPr>
              <w:jc w:val="both"/>
            </w:pPr>
            <w:r w:rsidRPr="00B66EAF">
              <w:t>Tabla de Retención Documental de la Caja de la Vivienda Popular del año 2015</w:t>
            </w:r>
          </w:p>
        </w:tc>
        <w:tc>
          <w:tcPr>
            <w:tcW w:w="1842" w:type="dxa"/>
            <w:hideMark/>
          </w:tcPr>
          <w:p w14:paraId="581C59FB" w14:textId="77777777" w:rsidR="00F326C2" w:rsidRPr="007A3A62" w:rsidRDefault="00F326C2" w:rsidP="007A3A62">
            <w:pPr>
              <w:jc w:val="center"/>
            </w:pPr>
            <w:r w:rsidRPr="007A3A62">
              <w:t>1</w:t>
            </w:r>
          </w:p>
        </w:tc>
      </w:tr>
      <w:tr w:rsidR="00F326C2" w:rsidRPr="007A3A62" w14:paraId="5DD31D53" w14:textId="77777777" w:rsidTr="00635C59">
        <w:trPr>
          <w:trHeight w:val="1200"/>
        </w:trPr>
        <w:tc>
          <w:tcPr>
            <w:tcW w:w="1545" w:type="dxa"/>
            <w:hideMark/>
          </w:tcPr>
          <w:p w14:paraId="7DA1ECBC" w14:textId="77777777" w:rsidR="00F326C2" w:rsidRPr="007A3A62" w:rsidRDefault="00F326C2" w:rsidP="007A3A62">
            <w:pPr>
              <w:jc w:val="center"/>
            </w:pPr>
            <w:r w:rsidRPr="007A3A62">
              <w:t>1720.005.1</w:t>
            </w:r>
          </w:p>
        </w:tc>
        <w:tc>
          <w:tcPr>
            <w:tcW w:w="1852" w:type="dxa"/>
            <w:gridSpan w:val="2"/>
            <w:hideMark/>
          </w:tcPr>
          <w:p w14:paraId="4803EB92" w14:textId="21C91138" w:rsidR="00F326C2" w:rsidRPr="00B66EAF" w:rsidRDefault="00F326C2" w:rsidP="007A3A62">
            <w:pPr>
              <w:jc w:val="center"/>
            </w:pPr>
            <w:r w:rsidRPr="00B66EAF">
              <w:t>Administración de vigilancia y seguridad/gestión de vigilancia y seguridad</w:t>
            </w:r>
          </w:p>
        </w:tc>
        <w:tc>
          <w:tcPr>
            <w:tcW w:w="1418" w:type="dxa"/>
          </w:tcPr>
          <w:p w14:paraId="26EA5CC0" w14:textId="197BED6A" w:rsidR="00F326C2" w:rsidRPr="00B66EAF" w:rsidRDefault="00840208" w:rsidP="007A3A62">
            <w:pPr>
              <w:jc w:val="center"/>
            </w:pPr>
            <w:r w:rsidRPr="00B66EAF">
              <w:t>2014</w:t>
            </w:r>
            <w:r w:rsidR="002D6A92" w:rsidRPr="00B66EAF">
              <w:t xml:space="preserve"> y 2016</w:t>
            </w:r>
          </w:p>
        </w:tc>
        <w:tc>
          <w:tcPr>
            <w:tcW w:w="1559" w:type="dxa"/>
            <w:hideMark/>
          </w:tcPr>
          <w:p w14:paraId="597122DE" w14:textId="295E6F8E" w:rsidR="00F326C2" w:rsidRPr="00B66EAF" w:rsidRDefault="00F326C2" w:rsidP="007A3A62">
            <w:pPr>
              <w:jc w:val="center"/>
            </w:pPr>
            <w:r w:rsidRPr="00B66EAF">
              <w:t>5 años</w:t>
            </w:r>
          </w:p>
        </w:tc>
        <w:tc>
          <w:tcPr>
            <w:tcW w:w="1985" w:type="dxa"/>
            <w:hideMark/>
          </w:tcPr>
          <w:p w14:paraId="64538EE4" w14:textId="77777777" w:rsidR="00F326C2" w:rsidRPr="00B66EAF" w:rsidRDefault="00F326C2">
            <w:pPr>
              <w:jc w:val="both"/>
            </w:pPr>
            <w:r w:rsidRPr="00B66EAF">
              <w:t>Tabla de Retención Documental de la Caja de la Vivienda Popular del año 2015</w:t>
            </w:r>
          </w:p>
        </w:tc>
        <w:tc>
          <w:tcPr>
            <w:tcW w:w="1842" w:type="dxa"/>
            <w:hideMark/>
          </w:tcPr>
          <w:p w14:paraId="749D9E69" w14:textId="77777777" w:rsidR="00F326C2" w:rsidRPr="007A3A62" w:rsidRDefault="00F326C2" w:rsidP="007A3A62">
            <w:pPr>
              <w:jc w:val="center"/>
            </w:pPr>
            <w:r w:rsidRPr="007A3A62">
              <w:t>5</w:t>
            </w:r>
          </w:p>
        </w:tc>
      </w:tr>
      <w:tr w:rsidR="00F326C2" w:rsidRPr="007A3A62" w14:paraId="6F286896" w14:textId="77777777" w:rsidTr="00635C59">
        <w:trPr>
          <w:trHeight w:val="1200"/>
        </w:trPr>
        <w:tc>
          <w:tcPr>
            <w:tcW w:w="1545" w:type="dxa"/>
            <w:hideMark/>
          </w:tcPr>
          <w:p w14:paraId="0718EAAC" w14:textId="77777777" w:rsidR="00F326C2" w:rsidRPr="007A3A62" w:rsidRDefault="00F326C2" w:rsidP="007A3A62">
            <w:pPr>
              <w:jc w:val="center"/>
            </w:pPr>
            <w:r w:rsidRPr="007A3A62">
              <w:t>1720.009.2</w:t>
            </w:r>
          </w:p>
        </w:tc>
        <w:tc>
          <w:tcPr>
            <w:tcW w:w="1852" w:type="dxa"/>
            <w:gridSpan w:val="2"/>
            <w:hideMark/>
          </w:tcPr>
          <w:p w14:paraId="61EF8314" w14:textId="357F16D6" w:rsidR="00F326C2" w:rsidRPr="00B66EAF" w:rsidRDefault="00F326C2" w:rsidP="007A3A62">
            <w:pPr>
              <w:jc w:val="center"/>
            </w:pPr>
            <w:r w:rsidRPr="00B66EAF">
              <w:t>Reembolsos de caja menor</w:t>
            </w:r>
          </w:p>
        </w:tc>
        <w:tc>
          <w:tcPr>
            <w:tcW w:w="1418" w:type="dxa"/>
          </w:tcPr>
          <w:p w14:paraId="5B46BA01" w14:textId="497140CC" w:rsidR="00F326C2" w:rsidRPr="00B66EAF" w:rsidRDefault="002D6A92" w:rsidP="007A3A62">
            <w:pPr>
              <w:jc w:val="center"/>
            </w:pPr>
            <w:r w:rsidRPr="00B66EAF">
              <w:t>2010 y 2011</w:t>
            </w:r>
          </w:p>
        </w:tc>
        <w:tc>
          <w:tcPr>
            <w:tcW w:w="1559" w:type="dxa"/>
            <w:hideMark/>
          </w:tcPr>
          <w:p w14:paraId="3C8471C1" w14:textId="07F4F424" w:rsidR="00F326C2" w:rsidRPr="00B66EAF" w:rsidRDefault="00F326C2" w:rsidP="007A3A62">
            <w:pPr>
              <w:jc w:val="center"/>
            </w:pPr>
            <w:r w:rsidRPr="00B66EAF">
              <w:t>12 años</w:t>
            </w:r>
          </w:p>
        </w:tc>
        <w:tc>
          <w:tcPr>
            <w:tcW w:w="1985" w:type="dxa"/>
            <w:hideMark/>
          </w:tcPr>
          <w:p w14:paraId="400CCAA3" w14:textId="77777777" w:rsidR="00F326C2" w:rsidRPr="00B66EAF" w:rsidRDefault="00F326C2">
            <w:pPr>
              <w:jc w:val="both"/>
            </w:pPr>
            <w:r w:rsidRPr="00B66EAF">
              <w:t>Tabla de Retención Documental de la Caja de la Vivienda Popular del año 2015</w:t>
            </w:r>
          </w:p>
        </w:tc>
        <w:tc>
          <w:tcPr>
            <w:tcW w:w="1842" w:type="dxa"/>
            <w:hideMark/>
          </w:tcPr>
          <w:p w14:paraId="45C69AAB" w14:textId="77777777" w:rsidR="00F326C2" w:rsidRPr="007A3A62" w:rsidRDefault="00F326C2" w:rsidP="007A3A62">
            <w:pPr>
              <w:jc w:val="center"/>
            </w:pPr>
            <w:r w:rsidRPr="007A3A62">
              <w:t>2</w:t>
            </w:r>
          </w:p>
        </w:tc>
      </w:tr>
      <w:tr w:rsidR="00F326C2" w:rsidRPr="007A3A62" w14:paraId="52D93DC8" w14:textId="77777777" w:rsidTr="00635C59">
        <w:trPr>
          <w:trHeight w:val="1200"/>
        </w:trPr>
        <w:tc>
          <w:tcPr>
            <w:tcW w:w="1545" w:type="dxa"/>
            <w:hideMark/>
          </w:tcPr>
          <w:p w14:paraId="7C4133DB" w14:textId="77777777" w:rsidR="00F326C2" w:rsidRPr="007A3A62" w:rsidRDefault="00F326C2" w:rsidP="007A3A62">
            <w:pPr>
              <w:jc w:val="center"/>
            </w:pPr>
            <w:r w:rsidRPr="007A3A62">
              <w:t>1720.021.1</w:t>
            </w:r>
          </w:p>
        </w:tc>
        <w:tc>
          <w:tcPr>
            <w:tcW w:w="1852" w:type="dxa"/>
            <w:gridSpan w:val="2"/>
            <w:hideMark/>
          </w:tcPr>
          <w:p w14:paraId="6C6F5204" w14:textId="765F417A" w:rsidR="00F326C2" w:rsidRPr="00B66EAF" w:rsidRDefault="00F326C2" w:rsidP="007A3A62">
            <w:pPr>
              <w:jc w:val="center"/>
            </w:pPr>
            <w:r w:rsidRPr="00B66EAF">
              <w:t>Control del parque automotor/control del servicio de transporte</w:t>
            </w:r>
          </w:p>
        </w:tc>
        <w:tc>
          <w:tcPr>
            <w:tcW w:w="1418" w:type="dxa"/>
          </w:tcPr>
          <w:p w14:paraId="082B5E16" w14:textId="06A54377" w:rsidR="00F326C2" w:rsidRPr="00B66EAF" w:rsidRDefault="00840208" w:rsidP="007A3A62">
            <w:pPr>
              <w:jc w:val="center"/>
            </w:pPr>
            <w:r w:rsidRPr="00B66EAF">
              <w:t>2010 AL 201</w:t>
            </w:r>
            <w:r w:rsidR="002D6A92" w:rsidRPr="00B66EAF">
              <w:t>6</w:t>
            </w:r>
          </w:p>
        </w:tc>
        <w:tc>
          <w:tcPr>
            <w:tcW w:w="1559" w:type="dxa"/>
            <w:hideMark/>
          </w:tcPr>
          <w:p w14:paraId="05AA4E3B" w14:textId="435AA9A8" w:rsidR="00F326C2" w:rsidRPr="00B66EAF" w:rsidRDefault="00F326C2" w:rsidP="007A3A62">
            <w:pPr>
              <w:jc w:val="center"/>
            </w:pPr>
            <w:r w:rsidRPr="00B66EAF">
              <w:t>5 años</w:t>
            </w:r>
          </w:p>
        </w:tc>
        <w:tc>
          <w:tcPr>
            <w:tcW w:w="1985" w:type="dxa"/>
            <w:hideMark/>
          </w:tcPr>
          <w:p w14:paraId="7187DAC3" w14:textId="77777777" w:rsidR="00F326C2" w:rsidRPr="00B66EAF" w:rsidRDefault="00F326C2">
            <w:pPr>
              <w:jc w:val="both"/>
            </w:pPr>
            <w:r w:rsidRPr="00B66EAF">
              <w:t>Tabla de Retención Documental de la Caja de la Vivienda Popular del año 2015</w:t>
            </w:r>
          </w:p>
        </w:tc>
        <w:tc>
          <w:tcPr>
            <w:tcW w:w="1842" w:type="dxa"/>
            <w:hideMark/>
          </w:tcPr>
          <w:p w14:paraId="03E066ED" w14:textId="77777777" w:rsidR="00F326C2" w:rsidRPr="007A3A62" w:rsidRDefault="00F326C2" w:rsidP="007A3A62">
            <w:pPr>
              <w:jc w:val="center"/>
            </w:pPr>
            <w:r w:rsidRPr="007A3A62">
              <w:t>82</w:t>
            </w:r>
          </w:p>
        </w:tc>
      </w:tr>
      <w:tr w:rsidR="00F326C2" w:rsidRPr="007A3A62" w14:paraId="17CF83BE" w14:textId="77777777" w:rsidTr="00635C59">
        <w:trPr>
          <w:trHeight w:val="1200"/>
        </w:trPr>
        <w:tc>
          <w:tcPr>
            <w:tcW w:w="1545" w:type="dxa"/>
            <w:hideMark/>
          </w:tcPr>
          <w:p w14:paraId="7323F785" w14:textId="77777777" w:rsidR="00F326C2" w:rsidRPr="007A3A62" w:rsidRDefault="00F326C2" w:rsidP="007A3A62">
            <w:pPr>
              <w:jc w:val="center"/>
            </w:pPr>
            <w:r w:rsidRPr="007A3A62">
              <w:lastRenderedPageBreak/>
              <w:t>1720.024</w:t>
            </w:r>
          </w:p>
        </w:tc>
        <w:tc>
          <w:tcPr>
            <w:tcW w:w="1852" w:type="dxa"/>
            <w:gridSpan w:val="2"/>
            <w:hideMark/>
          </w:tcPr>
          <w:p w14:paraId="45DBAFAA" w14:textId="3414A6EF" w:rsidR="00F326C2" w:rsidRPr="00B66EAF" w:rsidRDefault="00F326C2" w:rsidP="007A3A62">
            <w:pPr>
              <w:jc w:val="center"/>
            </w:pPr>
            <w:r w:rsidRPr="00B66EAF">
              <w:t>Cuenta mensual de almacén</w:t>
            </w:r>
          </w:p>
        </w:tc>
        <w:tc>
          <w:tcPr>
            <w:tcW w:w="1418" w:type="dxa"/>
          </w:tcPr>
          <w:p w14:paraId="6254C614" w14:textId="5BDD1B96" w:rsidR="00F326C2" w:rsidRPr="00B66EAF" w:rsidRDefault="005A5B24" w:rsidP="007A3A62">
            <w:pPr>
              <w:jc w:val="center"/>
            </w:pPr>
            <w:r w:rsidRPr="00B66EAF">
              <w:t>2011</w:t>
            </w:r>
            <w:r w:rsidR="00B66EAF" w:rsidRPr="00B66EAF">
              <w:t>-</w:t>
            </w:r>
            <w:r w:rsidRPr="00B66EAF">
              <w:t xml:space="preserve"> 201</w:t>
            </w:r>
            <w:r w:rsidR="002D6A92" w:rsidRPr="00B66EAF">
              <w:t>6</w:t>
            </w:r>
            <w:r w:rsidR="00B66EAF" w:rsidRPr="00B66EAF">
              <w:t>-2018</w:t>
            </w:r>
          </w:p>
        </w:tc>
        <w:tc>
          <w:tcPr>
            <w:tcW w:w="1559" w:type="dxa"/>
            <w:hideMark/>
          </w:tcPr>
          <w:p w14:paraId="17EEDA76" w14:textId="02C5337C" w:rsidR="00F326C2" w:rsidRPr="00B66EAF" w:rsidRDefault="00F326C2" w:rsidP="007A3A62">
            <w:pPr>
              <w:jc w:val="center"/>
            </w:pPr>
            <w:r w:rsidRPr="00B66EAF">
              <w:t>5 años</w:t>
            </w:r>
          </w:p>
        </w:tc>
        <w:tc>
          <w:tcPr>
            <w:tcW w:w="1985" w:type="dxa"/>
            <w:hideMark/>
          </w:tcPr>
          <w:p w14:paraId="413FA234" w14:textId="77777777" w:rsidR="00F326C2" w:rsidRPr="00B66EAF" w:rsidRDefault="00F326C2">
            <w:pPr>
              <w:jc w:val="both"/>
            </w:pPr>
            <w:r w:rsidRPr="00B66EAF">
              <w:t>Tabla de Retención Documental de la Caja de la Vivienda Popular del año 2015</w:t>
            </w:r>
          </w:p>
        </w:tc>
        <w:tc>
          <w:tcPr>
            <w:tcW w:w="1842" w:type="dxa"/>
            <w:hideMark/>
          </w:tcPr>
          <w:p w14:paraId="413E8DB7" w14:textId="77777777" w:rsidR="00F326C2" w:rsidRPr="007A3A62" w:rsidRDefault="00F326C2" w:rsidP="007A3A62">
            <w:pPr>
              <w:jc w:val="center"/>
            </w:pPr>
            <w:r w:rsidRPr="007A3A62">
              <w:t>14</w:t>
            </w:r>
          </w:p>
        </w:tc>
      </w:tr>
      <w:tr w:rsidR="00F326C2" w:rsidRPr="007A3A62" w14:paraId="71F1201B" w14:textId="77777777" w:rsidTr="00635C59">
        <w:trPr>
          <w:trHeight w:val="1200"/>
        </w:trPr>
        <w:tc>
          <w:tcPr>
            <w:tcW w:w="1545" w:type="dxa"/>
            <w:hideMark/>
          </w:tcPr>
          <w:p w14:paraId="0EFDD6D6" w14:textId="77777777" w:rsidR="00F326C2" w:rsidRPr="007A3A62" w:rsidRDefault="00F326C2" w:rsidP="007A3A62">
            <w:pPr>
              <w:jc w:val="center"/>
            </w:pPr>
            <w:r w:rsidRPr="007A3A62">
              <w:t>1720.028</w:t>
            </w:r>
          </w:p>
        </w:tc>
        <w:tc>
          <w:tcPr>
            <w:tcW w:w="1852" w:type="dxa"/>
            <w:gridSpan w:val="2"/>
            <w:hideMark/>
          </w:tcPr>
          <w:p w14:paraId="3B2775CE" w14:textId="5BFA9B8C" w:rsidR="00F326C2" w:rsidRPr="00B66EAF" w:rsidRDefault="00F326C2" w:rsidP="007A3A62">
            <w:pPr>
              <w:jc w:val="center"/>
            </w:pPr>
            <w:r w:rsidRPr="00B66EAF">
              <w:t>Elecciones del comité del personal</w:t>
            </w:r>
          </w:p>
        </w:tc>
        <w:tc>
          <w:tcPr>
            <w:tcW w:w="1418" w:type="dxa"/>
          </w:tcPr>
          <w:p w14:paraId="7F371D06" w14:textId="55487472" w:rsidR="00F326C2" w:rsidRPr="00B66EAF" w:rsidRDefault="005A5B24" w:rsidP="007A3A62">
            <w:pPr>
              <w:jc w:val="center"/>
            </w:pPr>
            <w:r w:rsidRPr="00B66EAF">
              <w:t>2011 – 2013</w:t>
            </w:r>
          </w:p>
          <w:p w14:paraId="11A72BD0" w14:textId="77777777" w:rsidR="005A5B24" w:rsidRPr="00B66EAF" w:rsidRDefault="005A5B24" w:rsidP="007A3A62">
            <w:pPr>
              <w:jc w:val="center"/>
            </w:pPr>
            <w:r w:rsidRPr="00B66EAF">
              <w:t>2013- 2015</w:t>
            </w:r>
          </w:p>
          <w:p w14:paraId="690DF2B8" w14:textId="5C9A802F" w:rsidR="005A5B24" w:rsidRPr="00B66EAF" w:rsidRDefault="005A5B24" w:rsidP="007A3A62">
            <w:pPr>
              <w:jc w:val="center"/>
            </w:pPr>
            <w:r w:rsidRPr="00B66EAF">
              <w:t>2015-2017</w:t>
            </w:r>
          </w:p>
          <w:p w14:paraId="53F363DD" w14:textId="5873D0F9" w:rsidR="005A5B24" w:rsidRPr="00B66EAF" w:rsidRDefault="005A5B24" w:rsidP="007A3A62">
            <w:pPr>
              <w:jc w:val="center"/>
            </w:pPr>
          </w:p>
        </w:tc>
        <w:tc>
          <w:tcPr>
            <w:tcW w:w="1559" w:type="dxa"/>
            <w:hideMark/>
          </w:tcPr>
          <w:p w14:paraId="73DF4429" w14:textId="693FE9A6" w:rsidR="00F326C2" w:rsidRPr="00B66EAF" w:rsidRDefault="00F326C2" w:rsidP="007A3A62">
            <w:pPr>
              <w:jc w:val="center"/>
            </w:pPr>
            <w:r w:rsidRPr="00B66EAF">
              <w:t>5 años</w:t>
            </w:r>
          </w:p>
        </w:tc>
        <w:tc>
          <w:tcPr>
            <w:tcW w:w="1985" w:type="dxa"/>
            <w:hideMark/>
          </w:tcPr>
          <w:p w14:paraId="5746E16A" w14:textId="77777777" w:rsidR="00F326C2" w:rsidRPr="00B66EAF" w:rsidRDefault="00F326C2">
            <w:pPr>
              <w:jc w:val="both"/>
            </w:pPr>
            <w:r w:rsidRPr="00B66EAF">
              <w:t>Tabla de Retención Documental de la Caja de la Vivienda Popular del año 2015</w:t>
            </w:r>
          </w:p>
        </w:tc>
        <w:tc>
          <w:tcPr>
            <w:tcW w:w="1842" w:type="dxa"/>
            <w:hideMark/>
          </w:tcPr>
          <w:p w14:paraId="5542778C" w14:textId="77777777" w:rsidR="00F326C2" w:rsidRPr="007A3A62" w:rsidRDefault="00F326C2" w:rsidP="007A3A62">
            <w:pPr>
              <w:jc w:val="center"/>
            </w:pPr>
            <w:r w:rsidRPr="007A3A62">
              <w:t>4</w:t>
            </w:r>
          </w:p>
        </w:tc>
      </w:tr>
      <w:tr w:rsidR="00F326C2" w:rsidRPr="007A3A62" w14:paraId="467F39EC" w14:textId="77777777" w:rsidTr="00635C59">
        <w:trPr>
          <w:trHeight w:val="1200"/>
        </w:trPr>
        <w:tc>
          <w:tcPr>
            <w:tcW w:w="1545" w:type="dxa"/>
            <w:hideMark/>
          </w:tcPr>
          <w:p w14:paraId="4A699B60" w14:textId="77777777" w:rsidR="00F326C2" w:rsidRPr="007A3A62" w:rsidRDefault="00F326C2" w:rsidP="007A3A62">
            <w:pPr>
              <w:jc w:val="center"/>
            </w:pPr>
            <w:r w:rsidRPr="007A3A62">
              <w:t>1720.031.1</w:t>
            </w:r>
          </w:p>
        </w:tc>
        <w:tc>
          <w:tcPr>
            <w:tcW w:w="1852" w:type="dxa"/>
            <w:gridSpan w:val="2"/>
            <w:hideMark/>
          </w:tcPr>
          <w:p w14:paraId="507A9D8C" w14:textId="7660D8BB" w:rsidR="00F326C2" w:rsidRPr="00B66EAF" w:rsidRDefault="00F326C2" w:rsidP="007A3A62">
            <w:pPr>
              <w:jc w:val="center"/>
            </w:pPr>
            <w:r w:rsidRPr="00B66EAF">
              <w:t>Encuestas/encuestas unidad documental</w:t>
            </w:r>
          </w:p>
        </w:tc>
        <w:tc>
          <w:tcPr>
            <w:tcW w:w="1418" w:type="dxa"/>
          </w:tcPr>
          <w:p w14:paraId="4617A109" w14:textId="57B6E9D0" w:rsidR="00F326C2" w:rsidRPr="00B66EAF" w:rsidRDefault="00840208" w:rsidP="007A3A62">
            <w:pPr>
              <w:jc w:val="center"/>
            </w:pPr>
            <w:r w:rsidRPr="00B66EAF">
              <w:t>2014 Y 2016</w:t>
            </w:r>
          </w:p>
        </w:tc>
        <w:tc>
          <w:tcPr>
            <w:tcW w:w="1559" w:type="dxa"/>
            <w:hideMark/>
          </w:tcPr>
          <w:p w14:paraId="0AFADE60" w14:textId="3B4AF7F7" w:rsidR="00F326C2" w:rsidRPr="00B66EAF" w:rsidRDefault="00F326C2" w:rsidP="007A3A62">
            <w:pPr>
              <w:jc w:val="center"/>
            </w:pPr>
            <w:r w:rsidRPr="00B66EAF">
              <w:t>2 años</w:t>
            </w:r>
          </w:p>
        </w:tc>
        <w:tc>
          <w:tcPr>
            <w:tcW w:w="1985" w:type="dxa"/>
            <w:hideMark/>
          </w:tcPr>
          <w:p w14:paraId="5531CC89" w14:textId="77777777" w:rsidR="00F326C2" w:rsidRPr="00B66EAF" w:rsidRDefault="00F326C2">
            <w:pPr>
              <w:jc w:val="both"/>
            </w:pPr>
            <w:r w:rsidRPr="00B66EAF">
              <w:t>Tabla de Retención Documental de la Caja de la Vivienda Popular del año 2015</w:t>
            </w:r>
          </w:p>
        </w:tc>
        <w:tc>
          <w:tcPr>
            <w:tcW w:w="1842" w:type="dxa"/>
            <w:hideMark/>
          </w:tcPr>
          <w:p w14:paraId="72807E6E" w14:textId="77777777" w:rsidR="00F326C2" w:rsidRPr="007A3A62" w:rsidRDefault="00F326C2" w:rsidP="007A3A62">
            <w:pPr>
              <w:jc w:val="center"/>
            </w:pPr>
            <w:r w:rsidRPr="007A3A62">
              <w:t>2</w:t>
            </w:r>
          </w:p>
        </w:tc>
      </w:tr>
      <w:tr w:rsidR="00F326C2" w:rsidRPr="007A3A62" w14:paraId="1F96BA28" w14:textId="77777777" w:rsidTr="00635C59">
        <w:trPr>
          <w:trHeight w:val="1800"/>
        </w:trPr>
        <w:tc>
          <w:tcPr>
            <w:tcW w:w="1545" w:type="dxa"/>
            <w:hideMark/>
          </w:tcPr>
          <w:p w14:paraId="19DDE53C" w14:textId="77777777" w:rsidR="00F326C2" w:rsidRPr="007A3A62" w:rsidRDefault="00F326C2" w:rsidP="007A3A62">
            <w:pPr>
              <w:jc w:val="center"/>
            </w:pPr>
            <w:r w:rsidRPr="007A3A62">
              <w:t>1720.039.1</w:t>
            </w:r>
          </w:p>
        </w:tc>
        <w:tc>
          <w:tcPr>
            <w:tcW w:w="1852" w:type="dxa"/>
            <w:gridSpan w:val="2"/>
            <w:hideMark/>
          </w:tcPr>
          <w:p w14:paraId="70AFE1BF" w14:textId="3F9FB2F8" w:rsidR="00F326C2" w:rsidRPr="00B66EAF" w:rsidRDefault="00E33CD8" w:rsidP="007A3A62">
            <w:pPr>
              <w:jc w:val="center"/>
            </w:pPr>
            <w:r w:rsidRPr="00B66EAF">
              <w:t>P</w:t>
            </w:r>
            <w:r w:rsidR="00F326C2" w:rsidRPr="00B66EAF">
              <w:t>lanilla de entrega de comunicaciones ordinarias oficiales externas</w:t>
            </w:r>
          </w:p>
        </w:tc>
        <w:tc>
          <w:tcPr>
            <w:tcW w:w="1418" w:type="dxa"/>
          </w:tcPr>
          <w:p w14:paraId="2601DF27" w14:textId="74E04552" w:rsidR="00F326C2" w:rsidRPr="00B66EAF" w:rsidRDefault="00E33CD8" w:rsidP="007A3A62">
            <w:pPr>
              <w:jc w:val="center"/>
            </w:pPr>
            <w:r w:rsidRPr="00B66EAF">
              <w:t>2011 al 2013</w:t>
            </w:r>
          </w:p>
        </w:tc>
        <w:tc>
          <w:tcPr>
            <w:tcW w:w="1559" w:type="dxa"/>
            <w:hideMark/>
          </w:tcPr>
          <w:p w14:paraId="26744A02" w14:textId="1389BC1A" w:rsidR="00F326C2" w:rsidRPr="00B66EAF" w:rsidRDefault="00F326C2" w:rsidP="007A3A62">
            <w:pPr>
              <w:jc w:val="center"/>
            </w:pPr>
            <w:r w:rsidRPr="00B66EAF">
              <w:t>3 años</w:t>
            </w:r>
          </w:p>
        </w:tc>
        <w:tc>
          <w:tcPr>
            <w:tcW w:w="1985" w:type="dxa"/>
            <w:hideMark/>
          </w:tcPr>
          <w:p w14:paraId="5647FEAD" w14:textId="77777777" w:rsidR="00F326C2" w:rsidRPr="00B66EAF" w:rsidRDefault="00F326C2">
            <w:pPr>
              <w:jc w:val="both"/>
            </w:pPr>
            <w:r w:rsidRPr="00B66EAF">
              <w:t>Tabla de Retención Documental de la Caja de la Vivienda Popular del año 2015</w:t>
            </w:r>
          </w:p>
        </w:tc>
        <w:tc>
          <w:tcPr>
            <w:tcW w:w="1842" w:type="dxa"/>
            <w:hideMark/>
          </w:tcPr>
          <w:p w14:paraId="2302056C" w14:textId="77777777" w:rsidR="00F326C2" w:rsidRPr="007A3A62" w:rsidRDefault="00F326C2" w:rsidP="007A3A62">
            <w:pPr>
              <w:jc w:val="center"/>
            </w:pPr>
            <w:r w:rsidRPr="007A3A62">
              <w:t>22</w:t>
            </w:r>
          </w:p>
        </w:tc>
      </w:tr>
      <w:tr w:rsidR="00F326C2" w:rsidRPr="007A3A62" w14:paraId="7567123E" w14:textId="77777777" w:rsidTr="00635C59">
        <w:trPr>
          <w:trHeight w:val="1800"/>
        </w:trPr>
        <w:tc>
          <w:tcPr>
            <w:tcW w:w="1545" w:type="dxa"/>
            <w:hideMark/>
          </w:tcPr>
          <w:p w14:paraId="747053AA" w14:textId="77777777" w:rsidR="00F326C2" w:rsidRPr="007A3A62" w:rsidRDefault="00F326C2" w:rsidP="007A3A62">
            <w:pPr>
              <w:jc w:val="center"/>
            </w:pPr>
            <w:r w:rsidRPr="007A3A62">
              <w:lastRenderedPageBreak/>
              <w:t>1720.039.5</w:t>
            </w:r>
          </w:p>
        </w:tc>
        <w:tc>
          <w:tcPr>
            <w:tcW w:w="1852" w:type="dxa"/>
            <w:gridSpan w:val="2"/>
            <w:hideMark/>
          </w:tcPr>
          <w:p w14:paraId="1446975F" w14:textId="4CADB941" w:rsidR="00F326C2" w:rsidRPr="00B66EAF" w:rsidRDefault="00F326C2" w:rsidP="007A3A62">
            <w:pPr>
              <w:jc w:val="center"/>
            </w:pPr>
            <w:r w:rsidRPr="00B66EAF">
              <w:t>Instrumentos de control/planillas de entrega de comunicaciones oficiales por correo certificado</w:t>
            </w:r>
          </w:p>
        </w:tc>
        <w:tc>
          <w:tcPr>
            <w:tcW w:w="1418" w:type="dxa"/>
          </w:tcPr>
          <w:p w14:paraId="42B43CAC" w14:textId="77777777" w:rsidR="00E85B4E" w:rsidRPr="00B66EAF" w:rsidRDefault="00E85B4E" w:rsidP="007A3A62">
            <w:pPr>
              <w:jc w:val="center"/>
            </w:pPr>
          </w:p>
          <w:p w14:paraId="5039AC97" w14:textId="01922AA7" w:rsidR="00F326C2" w:rsidRPr="00B66EAF" w:rsidRDefault="00E85B4E" w:rsidP="007A3A62">
            <w:pPr>
              <w:jc w:val="center"/>
            </w:pPr>
            <w:r w:rsidRPr="00B66EAF">
              <w:t>2011</w:t>
            </w:r>
            <w:r w:rsidR="00111060" w:rsidRPr="00B66EAF">
              <w:t>-</w:t>
            </w:r>
            <w:r w:rsidRPr="00B66EAF">
              <w:t xml:space="preserve"> 2013</w:t>
            </w:r>
            <w:r w:rsidR="00111060" w:rsidRPr="00B66EAF">
              <w:t>- 2016</w:t>
            </w:r>
          </w:p>
        </w:tc>
        <w:tc>
          <w:tcPr>
            <w:tcW w:w="1559" w:type="dxa"/>
            <w:hideMark/>
          </w:tcPr>
          <w:p w14:paraId="7329DFAA" w14:textId="30DAAD5E" w:rsidR="00F326C2" w:rsidRPr="00B66EAF" w:rsidRDefault="00F326C2" w:rsidP="007A3A62">
            <w:pPr>
              <w:jc w:val="center"/>
            </w:pPr>
            <w:r w:rsidRPr="00B66EAF">
              <w:t>5 años</w:t>
            </w:r>
          </w:p>
        </w:tc>
        <w:tc>
          <w:tcPr>
            <w:tcW w:w="1985" w:type="dxa"/>
            <w:hideMark/>
          </w:tcPr>
          <w:p w14:paraId="287679E4" w14:textId="77777777" w:rsidR="00F326C2" w:rsidRPr="00B66EAF" w:rsidRDefault="00F326C2">
            <w:pPr>
              <w:jc w:val="both"/>
            </w:pPr>
            <w:r w:rsidRPr="00B66EAF">
              <w:t>Tabla de Retención Documental de la Caja de la Vivienda Popular del año 2015</w:t>
            </w:r>
          </w:p>
        </w:tc>
        <w:tc>
          <w:tcPr>
            <w:tcW w:w="1842" w:type="dxa"/>
            <w:hideMark/>
          </w:tcPr>
          <w:p w14:paraId="642EE07D" w14:textId="77777777" w:rsidR="00F326C2" w:rsidRPr="007A3A62" w:rsidRDefault="00F326C2" w:rsidP="007A3A62">
            <w:pPr>
              <w:jc w:val="center"/>
            </w:pPr>
            <w:r w:rsidRPr="007A3A62">
              <w:t>32</w:t>
            </w:r>
          </w:p>
        </w:tc>
      </w:tr>
      <w:tr w:rsidR="00F326C2" w:rsidRPr="007A3A62" w14:paraId="4B644EA4" w14:textId="77777777" w:rsidTr="00635C59">
        <w:trPr>
          <w:trHeight w:val="1200"/>
        </w:trPr>
        <w:tc>
          <w:tcPr>
            <w:tcW w:w="1545" w:type="dxa"/>
            <w:hideMark/>
          </w:tcPr>
          <w:p w14:paraId="0E33D7E0" w14:textId="77777777" w:rsidR="00F326C2" w:rsidRPr="007A3A62" w:rsidRDefault="00F326C2" w:rsidP="007A3A62">
            <w:pPr>
              <w:jc w:val="center"/>
            </w:pPr>
            <w:r w:rsidRPr="007A3A62">
              <w:t>1720.047.1</w:t>
            </w:r>
          </w:p>
        </w:tc>
        <w:tc>
          <w:tcPr>
            <w:tcW w:w="1852" w:type="dxa"/>
            <w:gridSpan w:val="2"/>
            <w:hideMark/>
          </w:tcPr>
          <w:p w14:paraId="75ED6FE2" w14:textId="575248DA" w:rsidR="00F326C2" w:rsidRPr="00B66EAF" w:rsidRDefault="00F326C2" w:rsidP="007A3A62">
            <w:pPr>
              <w:jc w:val="center"/>
            </w:pPr>
            <w:r w:rsidRPr="00B66EAF">
              <w:t>Mantenimientos correctivos/mantenimiento correctivo de infraestructura física</w:t>
            </w:r>
          </w:p>
        </w:tc>
        <w:tc>
          <w:tcPr>
            <w:tcW w:w="1418" w:type="dxa"/>
          </w:tcPr>
          <w:p w14:paraId="201A5FF6" w14:textId="03F7384E" w:rsidR="00F326C2" w:rsidRPr="00B66EAF" w:rsidRDefault="00840208" w:rsidP="007A3A62">
            <w:pPr>
              <w:jc w:val="center"/>
            </w:pPr>
            <w:r w:rsidRPr="00B66EAF">
              <w:t>2013 y 2015</w:t>
            </w:r>
          </w:p>
        </w:tc>
        <w:tc>
          <w:tcPr>
            <w:tcW w:w="1559" w:type="dxa"/>
            <w:hideMark/>
          </w:tcPr>
          <w:p w14:paraId="30EA2431" w14:textId="4F9EF499" w:rsidR="00F326C2" w:rsidRPr="00B66EAF" w:rsidRDefault="00F326C2" w:rsidP="007A3A62">
            <w:pPr>
              <w:jc w:val="center"/>
            </w:pPr>
            <w:r w:rsidRPr="00B66EAF">
              <w:t>5 años</w:t>
            </w:r>
          </w:p>
        </w:tc>
        <w:tc>
          <w:tcPr>
            <w:tcW w:w="1985" w:type="dxa"/>
            <w:hideMark/>
          </w:tcPr>
          <w:p w14:paraId="217B45A4" w14:textId="77777777" w:rsidR="00F326C2" w:rsidRPr="00B66EAF" w:rsidRDefault="00F326C2">
            <w:pPr>
              <w:jc w:val="both"/>
            </w:pPr>
            <w:r w:rsidRPr="00B66EAF">
              <w:t>Tabla de Retención Documental de la Caja de la Vivienda Popular del año 2015</w:t>
            </w:r>
          </w:p>
        </w:tc>
        <w:tc>
          <w:tcPr>
            <w:tcW w:w="1842" w:type="dxa"/>
            <w:hideMark/>
          </w:tcPr>
          <w:p w14:paraId="112B7641" w14:textId="77777777" w:rsidR="00F326C2" w:rsidRPr="007A3A62" w:rsidRDefault="00F326C2" w:rsidP="007A3A62">
            <w:pPr>
              <w:jc w:val="center"/>
            </w:pPr>
            <w:r w:rsidRPr="007A3A62">
              <w:t>3</w:t>
            </w:r>
          </w:p>
        </w:tc>
      </w:tr>
      <w:tr w:rsidR="00F326C2" w:rsidRPr="007A3A62" w14:paraId="6DE4C47E" w14:textId="77777777" w:rsidTr="00635C59">
        <w:trPr>
          <w:trHeight w:val="1200"/>
        </w:trPr>
        <w:tc>
          <w:tcPr>
            <w:tcW w:w="1545" w:type="dxa"/>
            <w:hideMark/>
          </w:tcPr>
          <w:p w14:paraId="6229B7CD" w14:textId="77777777" w:rsidR="00F326C2" w:rsidRPr="007A3A62" w:rsidRDefault="00F326C2" w:rsidP="007A3A62">
            <w:pPr>
              <w:jc w:val="center"/>
            </w:pPr>
            <w:r w:rsidRPr="007A3A62">
              <w:t>1720.052</w:t>
            </w:r>
          </w:p>
        </w:tc>
        <w:tc>
          <w:tcPr>
            <w:tcW w:w="1852" w:type="dxa"/>
            <w:gridSpan w:val="2"/>
            <w:hideMark/>
          </w:tcPr>
          <w:p w14:paraId="757D2596" w14:textId="00925E4F" w:rsidR="00F326C2" w:rsidRPr="00B66EAF" w:rsidRDefault="00F326C2" w:rsidP="007A3A62">
            <w:pPr>
              <w:jc w:val="center"/>
            </w:pPr>
            <w:r w:rsidRPr="00B66EAF">
              <w:t>Pagos de servicios públicos y telefonía móvil</w:t>
            </w:r>
          </w:p>
        </w:tc>
        <w:tc>
          <w:tcPr>
            <w:tcW w:w="1418" w:type="dxa"/>
          </w:tcPr>
          <w:p w14:paraId="65605766" w14:textId="30945275" w:rsidR="00F326C2" w:rsidRPr="00B66EAF" w:rsidRDefault="00840208" w:rsidP="007A3A62">
            <w:pPr>
              <w:jc w:val="center"/>
            </w:pPr>
            <w:r w:rsidRPr="00B66EAF">
              <w:t>2011 al 201</w:t>
            </w:r>
            <w:r w:rsidR="006036EB" w:rsidRPr="00B66EAF">
              <w:t>7</w:t>
            </w:r>
          </w:p>
        </w:tc>
        <w:tc>
          <w:tcPr>
            <w:tcW w:w="1559" w:type="dxa"/>
            <w:hideMark/>
          </w:tcPr>
          <w:p w14:paraId="5D17DDD5" w14:textId="2EE013B2" w:rsidR="00F326C2" w:rsidRPr="00B66EAF" w:rsidRDefault="00F326C2" w:rsidP="007A3A62">
            <w:pPr>
              <w:jc w:val="center"/>
            </w:pPr>
            <w:r w:rsidRPr="00B66EAF">
              <w:t>2 años</w:t>
            </w:r>
          </w:p>
        </w:tc>
        <w:tc>
          <w:tcPr>
            <w:tcW w:w="1985" w:type="dxa"/>
            <w:hideMark/>
          </w:tcPr>
          <w:p w14:paraId="77A61568" w14:textId="77777777" w:rsidR="00F326C2" w:rsidRPr="00B66EAF" w:rsidRDefault="00F326C2">
            <w:pPr>
              <w:jc w:val="both"/>
            </w:pPr>
            <w:r w:rsidRPr="00B66EAF">
              <w:t>Tabla de Retención Documental de la Caja de la Vivienda Popular del año 2015</w:t>
            </w:r>
          </w:p>
        </w:tc>
        <w:tc>
          <w:tcPr>
            <w:tcW w:w="1842" w:type="dxa"/>
            <w:hideMark/>
          </w:tcPr>
          <w:p w14:paraId="39903F9A" w14:textId="77777777" w:rsidR="00F326C2" w:rsidRPr="007A3A62" w:rsidRDefault="00F326C2" w:rsidP="007A3A62">
            <w:pPr>
              <w:jc w:val="center"/>
            </w:pPr>
            <w:r w:rsidRPr="007A3A62">
              <w:t>10</w:t>
            </w:r>
          </w:p>
        </w:tc>
      </w:tr>
      <w:tr w:rsidR="00F326C2" w:rsidRPr="007A3A62" w14:paraId="2C7EA17C" w14:textId="77777777" w:rsidTr="00635C59">
        <w:trPr>
          <w:trHeight w:val="1200"/>
        </w:trPr>
        <w:tc>
          <w:tcPr>
            <w:tcW w:w="1545" w:type="dxa"/>
            <w:hideMark/>
          </w:tcPr>
          <w:p w14:paraId="7C5315E6" w14:textId="77777777" w:rsidR="00F326C2" w:rsidRPr="007A3A62" w:rsidRDefault="00F326C2" w:rsidP="007A3A62">
            <w:pPr>
              <w:jc w:val="center"/>
            </w:pPr>
            <w:r w:rsidRPr="007A3A62">
              <w:t>1720.054.2</w:t>
            </w:r>
          </w:p>
        </w:tc>
        <w:tc>
          <w:tcPr>
            <w:tcW w:w="1852" w:type="dxa"/>
            <w:gridSpan w:val="2"/>
            <w:hideMark/>
          </w:tcPr>
          <w:p w14:paraId="1A7C09C6" w14:textId="3F5321A4" w:rsidR="00F326C2" w:rsidRPr="00B66EAF" w:rsidRDefault="00F326C2" w:rsidP="007A3A62">
            <w:pPr>
              <w:jc w:val="center"/>
            </w:pPr>
            <w:r w:rsidRPr="00B66EAF">
              <w:t>Plan de capacitación a personal</w:t>
            </w:r>
          </w:p>
        </w:tc>
        <w:tc>
          <w:tcPr>
            <w:tcW w:w="1418" w:type="dxa"/>
          </w:tcPr>
          <w:p w14:paraId="447DBE6A" w14:textId="1DB3B336" w:rsidR="00F326C2" w:rsidRPr="00B66EAF" w:rsidRDefault="005A5B24" w:rsidP="007A3A62">
            <w:pPr>
              <w:jc w:val="center"/>
            </w:pPr>
            <w:r w:rsidRPr="00B66EAF">
              <w:t>2011 al 2015</w:t>
            </w:r>
          </w:p>
        </w:tc>
        <w:tc>
          <w:tcPr>
            <w:tcW w:w="1559" w:type="dxa"/>
            <w:hideMark/>
          </w:tcPr>
          <w:p w14:paraId="238FB617" w14:textId="3C05C5B0" w:rsidR="00F326C2" w:rsidRPr="00B66EAF" w:rsidRDefault="00F326C2" w:rsidP="007A3A62">
            <w:pPr>
              <w:jc w:val="center"/>
            </w:pPr>
            <w:r w:rsidRPr="00B66EAF">
              <w:t>7 años</w:t>
            </w:r>
          </w:p>
        </w:tc>
        <w:tc>
          <w:tcPr>
            <w:tcW w:w="1985" w:type="dxa"/>
            <w:hideMark/>
          </w:tcPr>
          <w:p w14:paraId="5B495CEE" w14:textId="77777777" w:rsidR="00F326C2" w:rsidRPr="00B66EAF" w:rsidRDefault="00F326C2">
            <w:pPr>
              <w:jc w:val="both"/>
            </w:pPr>
            <w:r w:rsidRPr="00B66EAF">
              <w:t>Tabla de Retención Documental de la Caja de la Vivienda Popular del año 2015</w:t>
            </w:r>
          </w:p>
        </w:tc>
        <w:tc>
          <w:tcPr>
            <w:tcW w:w="1842" w:type="dxa"/>
            <w:hideMark/>
          </w:tcPr>
          <w:p w14:paraId="287F08BA" w14:textId="77777777" w:rsidR="00F326C2" w:rsidRPr="007A3A62" w:rsidRDefault="00F326C2" w:rsidP="007A3A62">
            <w:pPr>
              <w:jc w:val="center"/>
            </w:pPr>
            <w:r w:rsidRPr="007A3A62">
              <w:t>29</w:t>
            </w:r>
          </w:p>
        </w:tc>
      </w:tr>
      <w:tr w:rsidR="00F326C2" w:rsidRPr="007A3A62" w14:paraId="69F7DBA7" w14:textId="77777777" w:rsidTr="00635C59">
        <w:trPr>
          <w:trHeight w:val="1200"/>
        </w:trPr>
        <w:tc>
          <w:tcPr>
            <w:tcW w:w="1545" w:type="dxa"/>
            <w:hideMark/>
          </w:tcPr>
          <w:p w14:paraId="1105EAB1" w14:textId="77777777" w:rsidR="00F326C2" w:rsidRPr="007A3A62" w:rsidRDefault="00F326C2" w:rsidP="007A3A62">
            <w:pPr>
              <w:jc w:val="center"/>
            </w:pPr>
            <w:r w:rsidRPr="007A3A62">
              <w:t>1720.054.4</w:t>
            </w:r>
          </w:p>
        </w:tc>
        <w:tc>
          <w:tcPr>
            <w:tcW w:w="1852" w:type="dxa"/>
            <w:gridSpan w:val="2"/>
            <w:hideMark/>
          </w:tcPr>
          <w:p w14:paraId="2B093735" w14:textId="2B705105" w:rsidR="00F326C2" w:rsidRPr="00B66EAF" w:rsidRDefault="00F326C2" w:rsidP="007A3A62">
            <w:pPr>
              <w:jc w:val="center"/>
            </w:pPr>
            <w:r w:rsidRPr="00B66EAF">
              <w:t>Plan de emergencias y evacuación</w:t>
            </w:r>
          </w:p>
        </w:tc>
        <w:tc>
          <w:tcPr>
            <w:tcW w:w="1418" w:type="dxa"/>
          </w:tcPr>
          <w:p w14:paraId="15646E2A" w14:textId="0AC28BC0" w:rsidR="00F326C2" w:rsidRPr="00B66EAF" w:rsidRDefault="00B66EAF" w:rsidP="007A3A62">
            <w:pPr>
              <w:jc w:val="center"/>
            </w:pPr>
            <w:r w:rsidRPr="00B66EAF">
              <w:t>2011</w:t>
            </w:r>
          </w:p>
        </w:tc>
        <w:tc>
          <w:tcPr>
            <w:tcW w:w="1559" w:type="dxa"/>
            <w:hideMark/>
          </w:tcPr>
          <w:p w14:paraId="1B97BADB" w14:textId="26FEBB4E" w:rsidR="00F326C2" w:rsidRPr="00B66EAF" w:rsidRDefault="00F326C2" w:rsidP="007A3A62">
            <w:pPr>
              <w:jc w:val="center"/>
            </w:pPr>
            <w:r w:rsidRPr="00B66EAF">
              <w:t>12 años</w:t>
            </w:r>
          </w:p>
        </w:tc>
        <w:tc>
          <w:tcPr>
            <w:tcW w:w="1985" w:type="dxa"/>
            <w:hideMark/>
          </w:tcPr>
          <w:p w14:paraId="26E82BCB" w14:textId="77777777" w:rsidR="00F326C2" w:rsidRPr="00B66EAF" w:rsidRDefault="00F326C2">
            <w:pPr>
              <w:jc w:val="both"/>
            </w:pPr>
            <w:r w:rsidRPr="00B66EAF">
              <w:t xml:space="preserve">Tabla de Retención Documental de la Caja de la Vivienda </w:t>
            </w:r>
            <w:r w:rsidRPr="00B66EAF">
              <w:lastRenderedPageBreak/>
              <w:t>Popular del año 2015</w:t>
            </w:r>
          </w:p>
        </w:tc>
        <w:tc>
          <w:tcPr>
            <w:tcW w:w="1842" w:type="dxa"/>
            <w:hideMark/>
          </w:tcPr>
          <w:p w14:paraId="33E4C21F" w14:textId="77777777" w:rsidR="00F326C2" w:rsidRPr="007A3A62" w:rsidRDefault="00F326C2" w:rsidP="007A3A62">
            <w:pPr>
              <w:jc w:val="center"/>
            </w:pPr>
            <w:r w:rsidRPr="007A3A62">
              <w:lastRenderedPageBreak/>
              <w:t>1</w:t>
            </w:r>
          </w:p>
        </w:tc>
      </w:tr>
      <w:tr w:rsidR="00F326C2" w:rsidRPr="007A3A62" w14:paraId="2F167F16" w14:textId="77777777" w:rsidTr="00635C59">
        <w:trPr>
          <w:trHeight w:val="1200"/>
        </w:trPr>
        <w:tc>
          <w:tcPr>
            <w:tcW w:w="1545" w:type="dxa"/>
            <w:hideMark/>
          </w:tcPr>
          <w:p w14:paraId="64B27EF1" w14:textId="77777777" w:rsidR="00F326C2" w:rsidRPr="007A3A62" w:rsidRDefault="00F326C2" w:rsidP="007A3A62">
            <w:pPr>
              <w:jc w:val="center"/>
            </w:pPr>
            <w:r w:rsidRPr="007A3A62">
              <w:lastRenderedPageBreak/>
              <w:t>1720.055</w:t>
            </w:r>
          </w:p>
        </w:tc>
        <w:tc>
          <w:tcPr>
            <w:tcW w:w="1852" w:type="dxa"/>
            <w:gridSpan w:val="2"/>
            <w:hideMark/>
          </w:tcPr>
          <w:p w14:paraId="2EBCC542" w14:textId="6636FFA5" w:rsidR="00F326C2" w:rsidRPr="00B66EAF" w:rsidRDefault="00F326C2" w:rsidP="007A3A62">
            <w:pPr>
              <w:jc w:val="center"/>
            </w:pPr>
            <w:r w:rsidRPr="00B66EAF">
              <w:t>Préstamos documentales</w:t>
            </w:r>
          </w:p>
        </w:tc>
        <w:tc>
          <w:tcPr>
            <w:tcW w:w="1418" w:type="dxa"/>
          </w:tcPr>
          <w:p w14:paraId="46521C47" w14:textId="52B24BA2" w:rsidR="00F326C2" w:rsidRPr="00B66EAF" w:rsidRDefault="002D6A92" w:rsidP="007A3A62">
            <w:pPr>
              <w:jc w:val="center"/>
            </w:pPr>
            <w:r w:rsidRPr="00B66EAF">
              <w:t>2017</w:t>
            </w:r>
          </w:p>
        </w:tc>
        <w:tc>
          <w:tcPr>
            <w:tcW w:w="1559" w:type="dxa"/>
            <w:hideMark/>
          </w:tcPr>
          <w:p w14:paraId="1AE8496C" w14:textId="48E2F808" w:rsidR="00F326C2" w:rsidRPr="00B66EAF" w:rsidRDefault="00F326C2" w:rsidP="007A3A62">
            <w:pPr>
              <w:jc w:val="center"/>
            </w:pPr>
            <w:r w:rsidRPr="00B66EAF">
              <w:t>2 años</w:t>
            </w:r>
          </w:p>
        </w:tc>
        <w:tc>
          <w:tcPr>
            <w:tcW w:w="1985" w:type="dxa"/>
            <w:hideMark/>
          </w:tcPr>
          <w:p w14:paraId="5C5582E8" w14:textId="77777777" w:rsidR="00F326C2" w:rsidRPr="00B66EAF" w:rsidRDefault="00F326C2">
            <w:pPr>
              <w:jc w:val="both"/>
            </w:pPr>
            <w:r w:rsidRPr="00B66EAF">
              <w:t>Tabla de Retención Documental de la Caja de la Vivienda Popular del año 2015</w:t>
            </w:r>
          </w:p>
        </w:tc>
        <w:tc>
          <w:tcPr>
            <w:tcW w:w="1842" w:type="dxa"/>
            <w:hideMark/>
          </w:tcPr>
          <w:p w14:paraId="578BF3D8" w14:textId="77777777" w:rsidR="00F326C2" w:rsidRPr="007A3A62" w:rsidRDefault="00F326C2" w:rsidP="007A3A62">
            <w:pPr>
              <w:jc w:val="center"/>
            </w:pPr>
            <w:r w:rsidRPr="007A3A62">
              <w:t>2</w:t>
            </w:r>
          </w:p>
        </w:tc>
      </w:tr>
      <w:tr w:rsidR="00F326C2" w:rsidRPr="007A3A62" w14:paraId="33426680" w14:textId="77777777" w:rsidTr="00635C59">
        <w:trPr>
          <w:trHeight w:val="1200"/>
        </w:trPr>
        <w:tc>
          <w:tcPr>
            <w:tcW w:w="1545" w:type="dxa"/>
            <w:hideMark/>
          </w:tcPr>
          <w:p w14:paraId="0D162BC3" w14:textId="77777777" w:rsidR="00F326C2" w:rsidRPr="007A3A62" w:rsidRDefault="00F326C2" w:rsidP="007A3A62">
            <w:pPr>
              <w:jc w:val="center"/>
            </w:pPr>
            <w:r w:rsidRPr="007A3A62">
              <w:t>1720.059.3</w:t>
            </w:r>
          </w:p>
        </w:tc>
        <w:tc>
          <w:tcPr>
            <w:tcW w:w="1852" w:type="dxa"/>
            <w:gridSpan w:val="2"/>
            <w:hideMark/>
          </w:tcPr>
          <w:p w14:paraId="2699973B" w14:textId="32F59269" w:rsidR="00F326C2" w:rsidRPr="00B66EAF" w:rsidRDefault="00F326C2" w:rsidP="007A3A62">
            <w:pPr>
              <w:jc w:val="center"/>
            </w:pPr>
            <w:r w:rsidRPr="00B66EAF">
              <w:t>Programas/programa de bienestar social de personal</w:t>
            </w:r>
          </w:p>
        </w:tc>
        <w:tc>
          <w:tcPr>
            <w:tcW w:w="1418" w:type="dxa"/>
          </w:tcPr>
          <w:p w14:paraId="29E0AC32" w14:textId="2B45AF3B" w:rsidR="00F326C2" w:rsidRPr="00B66EAF" w:rsidRDefault="005A5B24" w:rsidP="007A3A62">
            <w:pPr>
              <w:jc w:val="center"/>
            </w:pPr>
            <w:r w:rsidRPr="00B66EAF">
              <w:t>2011</w:t>
            </w:r>
          </w:p>
        </w:tc>
        <w:tc>
          <w:tcPr>
            <w:tcW w:w="1559" w:type="dxa"/>
            <w:hideMark/>
          </w:tcPr>
          <w:p w14:paraId="6D4B7F88" w14:textId="5713B3AC" w:rsidR="00F326C2" w:rsidRPr="00B66EAF" w:rsidRDefault="00F326C2" w:rsidP="007A3A62">
            <w:pPr>
              <w:jc w:val="center"/>
            </w:pPr>
            <w:r w:rsidRPr="00B66EAF">
              <w:t>12 años</w:t>
            </w:r>
          </w:p>
        </w:tc>
        <w:tc>
          <w:tcPr>
            <w:tcW w:w="1985" w:type="dxa"/>
            <w:hideMark/>
          </w:tcPr>
          <w:p w14:paraId="04688117" w14:textId="77777777" w:rsidR="00F326C2" w:rsidRPr="00B66EAF" w:rsidRDefault="00F326C2">
            <w:pPr>
              <w:jc w:val="both"/>
            </w:pPr>
            <w:r w:rsidRPr="00B66EAF">
              <w:t>Tabla de Retención Documental de la Caja de la Vivienda Popular del año 2015</w:t>
            </w:r>
          </w:p>
        </w:tc>
        <w:tc>
          <w:tcPr>
            <w:tcW w:w="1842" w:type="dxa"/>
            <w:hideMark/>
          </w:tcPr>
          <w:p w14:paraId="382D0C6C" w14:textId="77777777" w:rsidR="00F326C2" w:rsidRPr="007A3A62" w:rsidRDefault="00F326C2" w:rsidP="007A3A62">
            <w:pPr>
              <w:jc w:val="center"/>
            </w:pPr>
            <w:r w:rsidRPr="007A3A62">
              <w:t>6</w:t>
            </w:r>
          </w:p>
        </w:tc>
      </w:tr>
      <w:tr w:rsidR="00F326C2" w:rsidRPr="007A3A62" w14:paraId="68D79A09" w14:textId="77777777" w:rsidTr="00635C59">
        <w:trPr>
          <w:trHeight w:val="1200"/>
        </w:trPr>
        <w:tc>
          <w:tcPr>
            <w:tcW w:w="1545" w:type="dxa"/>
            <w:hideMark/>
          </w:tcPr>
          <w:p w14:paraId="1562F91F" w14:textId="77777777" w:rsidR="00F326C2" w:rsidRPr="007A3A62" w:rsidRDefault="00F326C2" w:rsidP="007A3A62">
            <w:pPr>
              <w:jc w:val="center"/>
            </w:pPr>
            <w:r w:rsidRPr="007A3A62">
              <w:t>1720.059.8</w:t>
            </w:r>
          </w:p>
        </w:tc>
        <w:tc>
          <w:tcPr>
            <w:tcW w:w="1852" w:type="dxa"/>
            <w:gridSpan w:val="2"/>
            <w:hideMark/>
          </w:tcPr>
          <w:p w14:paraId="10FBCBB8" w14:textId="4C8353E4" w:rsidR="00F326C2" w:rsidRPr="00B66EAF" w:rsidRDefault="00F326C2" w:rsidP="007A3A62">
            <w:pPr>
              <w:jc w:val="center"/>
            </w:pPr>
            <w:r w:rsidRPr="00B66EAF">
              <w:t>Programas/programas de salud ocupacional para personal-elecciones copaso</w:t>
            </w:r>
          </w:p>
        </w:tc>
        <w:tc>
          <w:tcPr>
            <w:tcW w:w="1418" w:type="dxa"/>
          </w:tcPr>
          <w:p w14:paraId="088E16F0" w14:textId="1ED45CC0" w:rsidR="00F326C2" w:rsidRPr="00B66EAF" w:rsidRDefault="00E33CD8" w:rsidP="007A3A62">
            <w:pPr>
              <w:jc w:val="center"/>
            </w:pPr>
            <w:r w:rsidRPr="00B66EAF">
              <w:t>2011</w:t>
            </w:r>
          </w:p>
        </w:tc>
        <w:tc>
          <w:tcPr>
            <w:tcW w:w="1559" w:type="dxa"/>
            <w:hideMark/>
          </w:tcPr>
          <w:p w14:paraId="26C300D3" w14:textId="2B3AC46B" w:rsidR="00F326C2" w:rsidRPr="00B66EAF" w:rsidRDefault="00F326C2" w:rsidP="007A3A62">
            <w:pPr>
              <w:jc w:val="center"/>
            </w:pPr>
            <w:r w:rsidRPr="00B66EAF">
              <w:t>12 años</w:t>
            </w:r>
          </w:p>
        </w:tc>
        <w:tc>
          <w:tcPr>
            <w:tcW w:w="1985" w:type="dxa"/>
            <w:hideMark/>
          </w:tcPr>
          <w:p w14:paraId="22037439" w14:textId="77777777" w:rsidR="00F326C2" w:rsidRPr="00B66EAF" w:rsidRDefault="00F326C2">
            <w:pPr>
              <w:jc w:val="both"/>
            </w:pPr>
            <w:r w:rsidRPr="00B66EAF">
              <w:t>Tabla de Retención Documental de la Caja de la Vivienda Popular del año 2015</w:t>
            </w:r>
          </w:p>
        </w:tc>
        <w:tc>
          <w:tcPr>
            <w:tcW w:w="1842" w:type="dxa"/>
            <w:hideMark/>
          </w:tcPr>
          <w:p w14:paraId="798E72D0" w14:textId="77777777" w:rsidR="00F326C2" w:rsidRPr="007A3A62" w:rsidRDefault="00F326C2" w:rsidP="007A3A62">
            <w:pPr>
              <w:jc w:val="center"/>
            </w:pPr>
            <w:r w:rsidRPr="007A3A62">
              <w:t>1</w:t>
            </w:r>
          </w:p>
        </w:tc>
      </w:tr>
      <w:tr w:rsidR="00F326C2" w:rsidRPr="007A3A62" w14:paraId="67491B14" w14:textId="77777777" w:rsidTr="00635C59">
        <w:trPr>
          <w:trHeight w:val="1200"/>
        </w:trPr>
        <w:tc>
          <w:tcPr>
            <w:tcW w:w="1545" w:type="dxa"/>
            <w:hideMark/>
          </w:tcPr>
          <w:p w14:paraId="323D2A81" w14:textId="77777777" w:rsidR="00F326C2" w:rsidRPr="007A3A62" w:rsidRDefault="00F326C2" w:rsidP="007A3A62">
            <w:pPr>
              <w:jc w:val="center"/>
            </w:pPr>
            <w:r w:rsidRPr="007A3A62">
              <w:t>1720.060</w:t>
            </w:r>
          </w:p>
        </w:tc>
        <w:tc>
          <w:tcPr>
            <w:tcW w:w="1852" w:type="dxa"/>
            <w:gridSpan w:val="2"/>
            <w:hideMark/>
          </w:tcPr>
          <w:p w14:paraId="6F946B88" w14:textId="550D4AD8" w:rsidR="00840208" w:rsidRPr="00B66EAF" w:rsidRDefault="00F326C2" w:rsidP="002D6A92">
            <w:pPr>
              <w:jc w:val="center"/>
            </w:pPr>
            <w:r w:rsidRPr="00B66EAF">
              <w:t>Provisión de personal</w:t>
            </w:r>
          </w:p>
        </w:tc>
        <w:tc>
          <w:tcPr>
            <w:tcW w:w="1418" w:type="dxa"/>
          </w:tcPr>
          <w:p w14:paraId="14251C93" w14:textId="77777777" w:rsidR="00F326C2" w:rsidRPr="00B66EAF" w:rsidRDefault="00840208" w:rsidP="007A3A62">
            <w:pPr>
              <w:jc w:val="center"/>
            </w:pPr>
            <w:r w:rsidRPr="00B66EAF">
              <w:t>2011 y 2012</w:t>
            </w:r>
          </w:p>
          <w:p w14:paraId="3EC5FD72" w14:textId="73A2FF73" w:rsidR="00840208" w:rsidRPr="00B66EAF" w:rsidRDefault="00840208" w:rsidP="007A3A62">
            <w:pPr>
              <w:jc w:val="center"/>
            </w:pPr>
          </w:p>
        </w:tc>
        <w:tc>
          <w:tcPr>
            <w:tcW w:w="1559" w:type="dxa"/>
            <w:hideMark/>
          </w:tcPr>
          <w:p w14:paraId="2BEE23FD" w14:textId="4E12B567" w:rsidR="00F326C2" w:rsidRPr="00B66EAF" w:rsidRDefault="00F326C2" w:rsidP="007A3A62">
            <w:pPr>
              <w:jc w:val="center"/>
            </w:pPr>
            <w:r w:rsidRPr="00B66EAF">
              <w:t>12 años</w:t>
            </w:r>
          </w:p>
        </w:tc>
        <w:tc>
          <w:tcPr>
            <w:tcW w:w="1985" w:type="dxa"/>
            <w:hideMark/>
          </w:tcPr>
          <w:p w14:paraId="69E763D2" w14:textId="77777777" w:rsidR="00F326C2" w:rsidRPr="00B66EAF" w:rsidRDefault="00F326C2">
            <w:pPr>
              <w:jc w:val="both"/>
            </w:pPr>
            <w:r w:rsidRPr="00B66EAF">
              <w:t>Tabla de Retención Documental de la Caja de la Vivienda Popular del año 2015</w:t>
            </w:r>
          </w:p>
        </w:tc>
        <w:tc>
          <w:tcPr>
            <w:tcW w:w="1842" w:type="dxa"/>
            <w:hideMark/>
          </w:tcPr>
          <w:p w14:paraId="6CED50FE" w14:textId="77777777" w:rsidR="00F326C2" w:rsidRPr="007A3A62" w:rsidRDefault="00F326C2" w:rsidP="007A3A62">
            <w:pPr>
              <w:jc w:val="center"/>
            </w:pPr>
            <w:r w:rsidRPr="007A3A62">
              <w:t>5</w:t>
            </w:r>
          </w:p>
        </w:tc>
      </w:tr>
      <w:bookmarkEnd w:id="1"/>
      <w:tr w:rsidR="00F326C2" w:rsidRPr="007A3A62" w14:paraId="22A271E5" w14:textId="77777777" w:rsidTr="00635C59">
        <w:trPr>
          <w:trHeight w:val="595"/>
        </w:trPr>
        <w:tc>
          <w:tcPr>
            <w:tcW w:w="1701" w:type="dxa"/>
            <w:gridSpan w:val="2"/>
          </w:tcPr>
          <w:p w14:paraId="1D1A9965" w14:textId="77777777" w:rsidR="00F326C2" w:rsidRPr="00B66EAF" w:rsidRDefault="00F326C2">
            <w:pPr>
              <w:jc w:val="both"/>
              <w:rPr>
                <w:b/>
                <w:bCs/>
              </w:rPr>
            </w:pPr>
          </w:p>
        </w:tc>
        <w:tc>
          <w:tcPr>
            <w:tcW w:w="6658" w:type="dxa"/>
            <w:gridSpan w:val="4"/>
          </w:tcPr>
          <w:p w14:paraId="5548CC54" w14:textId="4C98CDC3" w:rsidR="00F326C2" w:rsidRPr="00B66EAF" w:rsidRDefault="00F326C2">
            <w:pPr>
              <w:jc w:val="both"/>
              <w:rPr>
                <w:b/>
                <w:bCs/>
              </w:rPr>
            </w:pPr>
            <w:r w:rsidRPr="00B66EAF">
              <w:rPr>
                <w:b/>
                <w:bCs/>
              </w:rPr>
              <w:t>TOTAL</w:t>
            </w:r>
          </w:p>
        </w:tc>
        <w:tc>
          <w:tcPr>
            <w:tcW w:w="1842" w:type="dxa"/>
          </w:tcPr>
          <w:p w14:paraId="64D38BAE" w14:textId="2DB84B9B" w:rsidR="00F326C2" w:rsidRPr="00455F0E" w:rsidRDefault="00F326C2" w:rsidP="007A3A62">
            <w:pPr>
              <w:jc w:val="center"/>
              <w:rPr>
                <w:b/>
                <w:bCs/>
              </w:rPr>
            </w:pPr>
            <w:r>
              <w:rPr>
                <w:b/>
                <w:bCs/>
              </w:rPr>
              <w:t>304</w:t>
            </w:r>
          </w:p>
        </w:tc>
      </w:tr>
    </w:tbl>
    <w:p w14:paraId="2C03B370" w14:textId="77777777" w:rsidR="00635C59" w:rsidRDefault="00635C59" w:rsidP="00791BE0">
      <w:pPr>
        <w:jc w:val="both"/>
      </w:pPr>
    </w:p>
    <w:p w14:paraId="1FD3AD5D" w14:textId="77777777" w:rsidR="00635C59" w:rsidRDefault="00635C59" w:rsidP="00791BE0">
      <w:pPr>
        <w:jc w:val="both"/>
        <w:rPr>
          <w:sz w:val="24"/>
          <w:szCs w:val="24"/>
        </w:rPr>
      </w:pPr>
    </w:p>
    <w:p w14:paraId="346C2AFD" w14:textId="555E5AF1" w:rsidR="008C0052" w:rsidRPr="00635C59" w:rsidRDefault="008C0052" w:rsidP="00791BE0">
      <w:pPr>
        <w:jc w:val="both"/>
        <w:rPr>
          <w:sz w:val="24"/>
          <w:szCs w:val="24"/>
        </w:rPr>
      </w:pPr>
      <w:r w:rsidRPr="00635C59">
        <w:rPr>
          <w:sz w:val="24"/>
          <w:szCs w:val="24"/>
        </w:rPr>
        <w:t xml:space="preserve">La eliminación de las series documentales, antes descritas están sustentadas </w:t>
      </w:r>
      <w:r w:rsidR="00921904" w:rsidRPr="00635C59">
        <w:rPr>
          <w:sz w:val="24"/>
          <w:szCs w:val="24"/>
        </w:rPr>
        <w:t xml:space="preserve">en lo determinado en la resolución 525 de 2016 “Por lo cual se incorpora el Régimen de Contabilidad de Contabilidad Pública de la norma de Proceso Contable y Sistema Documental Contable”, expedida por la Contaduría General de la Nación lo siguiente: </w:t>
      </w:r>
      <w:r w:rsidR="007A16FA" w:rsidRPr="00635C59">
        <w:rPr>
          <w:sz w:val="24"/>
          <w:szCs w:val="24"/>
        </w:rPr>
        <w:t>“El</w:t>
      </w:r>
      <w:r w:rsidR="00921904" w:rsidRPr="00635C59">
        <w:rPr>
          <w:sz w:val="24"/>
          <w:szCs w:val="24"/>
        </w:rPr>
        <w:t xml:space="preserve"> término de conservación</w:t>
      </w:r>
      <w:r w:rsidR="007A16FA" w:rsidRPr="00635C59">
        <w:rPr>
          <w:sz w:val="24"/>
          <w:szCs w:val="24"/>
        </w:rPr>
        <w:t xml:space="preserve"> de los soportes, comprobantes y libros de contabilidad</w:t>
      </w:r>
      <w:r w:rsidR="00BD6B17" w:rsidRPr="00635C59">
        <w:rPr>
          <w:sz w:val="24"/>
          <w:szCs w:val="24"/>
        </w:rPr>
        <w:t xml:space="preserve">es de diez (10) años contados a partir de la fecha del último asiento, documento o comprobante, pudiendo utilizar para el efecto, a elección de la entidad, cualquier medio de conservación que garantice su reproducción exacta, Transcurrido este tiempo, la entidad observará las políticas que haya desarrollado para la gestión documental, en el marco de las disposiciones </w:t>
      </w:r>
      <w:r w:rsidR="00AA3754" w:rsidRPr="00635C59">
        <w:rPr>
          <w:sz w:val="24"/>
          <w:szCs w:val="24"/>
        </w:rPr>
        <w:t>legales que rigen la materia”.</w:t>
      </w:r>
    </w:p>
    <w:p w14:paraId="0C4CE72F" w14:textId="2507912D" w:rsidR="00AA3754" w:rsidRPr="00635C59" w:rsidRDefault="00AA3754" w:rsidP="00791BE0">
      <w:pPr>
        <w:jc w:val="both"/>
        <w:rPr>
          <w:sz w:val="24"/>
          <w:szCs w:val="24"/>
        </w:rPr>
      </w:pPr>
      <w:r w:rsidRPr="00635C59">
        <w:rPr>
          <w:sz w:val="24"/>
          <w:szCs w:val="24"/>
        </w:rPr>
        <w:t xml:space="preserve">Al igual que el Código </w:t>
      </w:r>
      <w:r w:rsidR="00F96556" w:rsidRPr="00635C59">
        <w:rPr>
          <w:sz w:val="24"/>
          <w:szCs w:val="24"/>
        </w:rPr>
        <w:t>de Comercio Art 60, que indica: “Los libros y papeles a que se refiere este capítulo deberán ser conservados cuanto menos por diez años, contados desde el cierre de aquéllos o l</w:t>
      </w:r>
      <w:r w:rsidR="00635C59" w:rsidRPr="00635C59">
        <w:rPr>
          <w:sz w:val="24"/>
          <w:szCs w:val="24"/>
        </w:rPr>
        <w:t>a</w:t>
      </w:r>
      <w:r w:rsidR="00F96556" w:rsidRPr="00635C59">
        <w:rPr>
          <w:sz w:val="24"/>
          <w:szCs w:val="24"/>
        </w:rPr>
        <w:t xml:space="preserve"> fecha del último asiento, documento o comprobante. Transcurrido este lapso, podrán ser destruidos por el comerciante, siempre que por cualquier medio técnico adecuado garantice su reproducción exacta. Además, ante la Cámara de Comercio donde ya fueron registros los libros se verificará la exactitud de la reproducción </w:t>
      </w:r>
      <w:r w:rsidR="00E9331D" w:rsidRPr="00635C59">
        <w:rPr>
          <w:sz w:val="24"/>
          <w:szCs w:val="24"/>
        </w:rPr>
        <w:t>d</w:t>
      </w:r>
      <w:r w:rsidR="00F96556" w:rsidRPr="00635C59">
        <w:rPr>
          <w:sz w:val="24"/>
          <w:szCs w:val="24"/>
        </w:rPr>
        <w:t>e la copia, y el secretario de la misma firmará acta en la que se anotará los libros y papeles que se destruyeron y el procedimiento utilizado para su reproducción”.</w:t>
      </w:r>
    </w:p>
    <w:p w14:paraId="5E57F501" w14:textId="5BA24531" w:rsidR="00F96556" w:rsidRPr="00635C59" w:rsidRDefault="00F96556" w:rsidP="00791BE0">
      <w:pPr>
        <w:jc w:val="both"/>
        <w:rPr>
          <w:sz w:val="24"/>
          <w:szCs w:val="24"/>
        </w:rPr>
      </w:pPr>
      <w:r w:rsidRPr="00635C59">
        <w:rPr>
          <w:sz w:val="24"/>
          <w:szCs w:val="24"/>
        </w:rPr>
        <w:t>Como también lo determinado en las Tablas de Retención Documental de la Caja de la Vivienda Popular, donde se establece la eliminación después de 12 años.</w:t>
      </w:r>
    </w:p>
    <w:p w14:paraId="74B0994F" w14:textId="2E593BBF" w:rsidR="00030446" w:rsidRPr="00635C59" w:rsidRDefault="00030446" w:rsidP="00791BE0">
      <w:pPr>
        <w:jc w:val="both"/>
        <w:rPr>
          <w:sz w:val="24"/>
          <w:szCs w:val="24"/>
        </w:rPr>
      </w:pPr>
      <w:r w:rsidRPr="00635C59">
        <w:rPr>
          <w:sz w:val="24"/>
          <w:szCs w:val="24"/>
        </w:rPr>
        <w:t xml:space="preserve">En relación con la eliminación de las series documentales que se relacionan, se encuentra sustentada en los tiempos de retención establecidos en las Tablas de Retención Documental </w:t>
      </w:r>
      <w:r w:rsidR="0073075D" w:rsidRPr="00635C59">
        <w:rPr>
          <w:sz w:val="24"/>
          <w:szCs w:val="24"/>
        </w:rPr>
        <w:t>d</w:t>
      </w:r>
      <w:r w:rsidRPr="00635C59">
        <w:rPr>
          <w:sz w:val="24"/>
          <w:szCs w:val="24"/>
        </w:rPr>
        <w:t>e la entidad.  Cabe resaltar que las Tablas de Retención Documental, fuero</w:t>
      </w:r>
      <w:r w:rsidR="00E9331D" w:rsidRPr="00635C59">
        <w:rPr>
          <w:sz w:val="24"/>
          <w:szCs w:val="24"/>
        </w:rPr>
        <w:t>n</w:t>
      </w:r>
      <w:r w:rsidRPr="00635C59">
        <w:rPr>
          <w:sz w:val="24"/>
          <w:szCs w:val="24"/>
        </w:rPr>
        <w:t xml:space="preserve"> convalidadas por el Archivo Distrital, quien es la autoridad en la Gestión Documental Distrital. </w:t>
      </w:r>
    </w:p>
    <w:p w14:paraId="0F5B0510" w14:textId="2EE1ADF0" w:rsidR="001F03BC" w:rsidRPr="00635C59" w:rsidRDefault="001F03BC" w:rsidP="001F03BC">
      <w:pPr>
        <w:jc w:val="center"/>
        <w:rPr>
          <w:b/>
          <w:bCs/>
          <w:sz w:val="24"/>
          <w:szCs w:val="24"/>
        </w:rPr>
      </w:pPr>
      <w:r w:rsidRPr="00635C59">
        <w:rPr>
          <w:b/>
          <w:bCs/>
          <w:sz w:val="24"/>
          <w:szCs w:val="24"/>
        </w:rPr>
        <w:t>CONCLUSIONES Y RECOMENDACIONES</w:t>
      </w:r>
    </w:p>
    <w:p w14:paraId="29E49169" w14:textId="4AD7E81E" w:rsidR="001F03BC" w:rsidRPr="00635C59" w:rsidRDefault="001F03BC" w:rsidP="001F03BC">
      <w:pPr>
        <w:jc w:val="both"/>
        <w:rPr>
          <w:sz w:val="24"/>
          <w:szCs w:val="24"/>
        </w:rPr>
      </w:pPr>
      <w:r w:rsidRPr="00635C59">
        <w:rPr>
          <w:sz w:val="24"/>
          <w:szCs w:val="24"/>
        </w:rPr>
        <w:t xml:space="preserve">Dado que es importante que la entidad continúe con la implementación y aplicación de las Tablas de Retención Documental -TRD, mediante Resolución 1178 del 18 de marzo de 2019 y convalidas </w:t>
      </w:r>
      <w:r w:rsidRPr="00635C59">
        <w:rPr>
          <w:sz w:val="24"/>
          <w:szCs w:val="24"/>
        </w:rPr>
        <w:lastRenderedPageBreak/>
        <w:t>por el Consejo Distrital de Archivos el 18 de diciembre del 2018 y notificadas a la entidad el 6 de febrero de 2019, se recomienda al Comité Institucional de Gestión y Desempeño de la Entidad, autorizar la eliminación de las series documentales relacionadas en el presente documento, sustentada en los siguientes argumentos:</w:t>
      </w:r>
    </w:p>
    <w:p w14:paraId="2EFB6ECC" w14:textId="05910DFA" w:rsidR="001F03BC" w:rsidRDefault="001F03BC" w:rsidP="001F03BC">
      <w:pPr>
        <w:pStyle w:val="Prrafodelista"/>
        <w:numPr>
          <w:ilvl w:val="0"/>
          <w:numId w:val="6"/>
        </w:numPr>
        <w:jc w:val="both"/>
      </w:pPr>
      <w:r>
        <w:t>Jurídicamente están soportadas las series documentales propuestas para eliminación</w:t>
      </w:r>
      <w:r w:rsidR="008C71E3">
        <w:t>, puesto que y han cumplido con su tiempo de retención de acuerdo con las Tablas de Retención Documental de la entidad.</w:t>
      </w:r>
    </w:p>
    <w:p w14:paraId="41D0E294" w14:textId="30DF6318" w:rsidR="008C71E3" w:rsidRDefault="008C71E3" w:rsidP="001F03BC">
      <w:pPr>
        <w:pStyle w:val="Prrafodelista"/>
        <w:numPr>
          <w:ilvl w:val="0"/>
          <w:numId w:val="6"/>
        </w:numPr>
        <w:jc w:val="both"/>
      </w:pPr>
      <w:r>
        <w:t>Las series documentales propuestas para eliminación no tienen un promedio de consulta alto, según las estadísticas internas de la Entidad.</w:t>
      </w:r>
    </w:p>
    <w:p w14:paraId="02D1DBA8" w14:textId="1DDF0B94" w:rsidR="008C71E3" w:rsidRDefault="008C71E3" w:rsidP="001F03BC">
      <w:pPr>
        <w:pStyle w:val="Prrafodelista"/>
        <w:numPr>
          <w:ilvl w:val="0"/>
          <w:numId w:val="6"/>
        </w:numPr>
        <w:jc w:val="both"/>
      </w:pPr>
      <w:r>
        <w:t>Para dar cumplimiento a la ley 594 de 2000, en cuanto a la función archivística se refiere.</w:t>
      </w:r>
    </w:p>
    <w:p w14:paraId="7A5D858F" w14:textId="5D8814E8" w:rsidR="008C71E3" w:rsidRDefault="008C71E3" w:rsidP="001F03BC">
      <w:pPr>
        <w:pStyle w:val="Prrafodelista"/>
        <w:numPr>
          <w:ilvl w:val="0"/>
          <w:numId w:val="6"/>
        </w:numPr>
        <w:jc w:val="both"/>
      </w:pPr>
      <w:r>
        <w:t>La serie Docum</w:t>
      </w:r>
      <w:r w:rsidR="002A4286">
        <w:t xml:space="preserve">ental consecutivos de comunicaciones oficiales, en la Caja de la Vivienda Popular se cuenta con un respaldo en medio electrónico, que puede ser consultado de acuerdo con cada </w:t>
      </w:r>
      <w:r w:rsidR="00AC3BC9">
        <w:t>u</w:t>
      </w:r>
      <w:r w:rsidR="002A4286">
        <w:t>no de los aplicativos de Gestión Documental utilizados en la Entidad, como CORDIS y ORFEO.</w:t>
      </w:r>
    </w:p>
    <w:p w14:paraId="32086308" w14:textId="728601D8" w:rsidR="002A4286" w:rsidRDefault="002A4286" w:rsidP="002A4286">
      <w:pPr>
        <w:jc w:val="both"/>
      </w:pPr>
      <w:r>
        <w:t>Por lo expuesto, se recomienda a</w:t>
      </w:r>
      <w:r w:rsidR="00A91703">
        <w:t>l</w:t>
      </w:r>
      <w:r>
        <w:t xml:space="preserve"> Comité Institucional de Gestión y Desempeño de la Entidad, aprobar la eliminación de las series documentales antes descritas y así dar aplicación a las Tablas de Retención Documental de la Entidad</w:t>
      </w:r>
      <w:r w:rsidR="00B5686F">
        <w:t>.</w:t>
      </w:r>
    </w:p>
    <w:p w14:paraId="42DB7692" w14:textId="32B58D15" w:rsidR="00B5686F" w:rsidRDefault="00635C59" w:rsidP="002A4286">
      <w:pPr>
        <w:jc w:val="both"/>
      </w:pPr>
      <w:r>
        <w:rPr>
          <w:noProof/>
          <w:lang w:eastAsia="es-CO"/>
        </w:rPr>
        <w:drawing>
          <wp:anchor distT="0" distB="0" distL="114300" distR="114300" simplePos="0" relativeHeight="251658240" behindDoc="1" locked="0" layoutInCell="1" allowOverlap="1" wp14:anchorId="710AF7B7" wp14:editId="0F39ADF2">
            <wp:simplePos x="0" y="0"/>
            <wp:positionH relativeFrom="column">
              <wp:posOffset>167640</wp:posOffset>
            </wp:positionH>
            <wp:positionV relativeFrom="paragraph">
              <wp:posOffset>280670</wp:posOffset>
            </wp:positionV>
            <wp:extent cx="1228725" cy="207010"/>
            <wp:effectExtent l="0" t="0" r="9525" b="2540"/>
            <wp:wrapTight wrapText="bothSides">
              <wp:wrapPolygon edited="0">
                <wp:start x="0" y="0"/>
                <wp:lineTo x="0" y="19877"/>
                <wp:lineTo x="21433" y="19877"/>
                <wp:lineTo x="21433" y="0"/>
                <wp:lineTo x="0" y="0"/>
              </wp:wrapPolygon>
            </wp:wrapTight>
            <wp:docPr id="11894204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20446" name="Imagen 1189420446"/>
                    <pic:cNvPicPr/>
                  </pic:nvPicPr>
                  <pic:blipFill>
                    <a:blip r:embed="rId11"/>
                    <a:stretch>
                      <a:fillRect/>
                    </a:stretch>
                  </pic:blipFill>
                  <pic:spPr>
                    <a:xfrm>
                      <a:off x="0" y="0"/>
                      <a:ext cx="1228725" cy="207010"/>
                    </a:xfrm>
                    <a:prstGeom prst="rect">
                      <a:avLst/>
                    </a:prstGeom>
                  </pic:spPr>
                </pic:pic>
              </a:graphicData>
            </a:graphic>
          </wp:anchor>
        </w:drawing>
      </w:r>
      <w:r w:rsidR="00B5686F">
        <w:t xml:space="preserve">El presente concepto técnico se expide en Bogotá D.C, a los </w:t>
      </w:r>
      <w:r>
        <w:t>18 días</w:t>
      </w:r>
      <w:r w:rsidR="00B5686F">
        <w:t xml:space="preserve"> del mes de </w:t>
      </w:r>
      <w:r w:rsidR="00180634">
        <w:t>diciembre</w:t>
      </w:r>
      <w:r w:rsidR="00B5686F">
        <w:t xml:space="preserve"> de 2024.</w:t>
      </w:r>
    </w:p>
    <w:p w14:paraId="5ABCD575" w14:textId="77777777" w:rsidR="00B5686F" w:rsidRDefault="00B5686F" w:rsidP="00B5686F">
      <w:pPr>
        <w:spacing w:after="0" w:line="240" w:lineRule="auto"/>
        <w:jc w:val="both"/>
      </w:pPr>
    </w:p>
    <w:p w14:paraId="0C0B436F" w14:textId="397ED713" w:rsidR="00B5686F" w:rsidRPr="00B5686F" w:rsidRDefault="00B5686F" w:rsidP="00B5686F">
      <w:pPr>
        <w:spacing w:after="0" w:line="240" w:lineRule="auto"/>
        <w:jc w:val="both"/>
        <w:rPr>
          <w:b/>
          <w:bCs/>
        </w:rPr>
      </w:pPr>
      <w:r w:rsidRPr="00B5686F">
        <w:rPr>
          <w:b/>
          <w:bCs/>
        </w:rPr>
        <w:t>LUZ STELLA BAHAMON L.</w:t>
      </w:r>
    </w:p>
    <w:p w14:paraId="73228BA7" w14:textId="29BF5581" w:rsidR="00B5686F" w:rsidRDefault="00B5686F" w:rsidP="00B5686F">
      <w:pPr>
        <w:spacing w:after="0" w:line="240" w:lineRule="auto"/>
        <w:jc w:val="both"/>
      </w:pPr>
      <w:r>
        <w:t>Profesional Grupo Gestión Documental</w:t>
      </w:r>
    </w:p>
    <w:p w14:paraId="505D020D" w14:textId="77777777" w:rsidR="00B5686F" w:rsidRDefault="00B5686F" w:rsidP="00B5686F">
      <w:pPr>
        <w:spacing w:after="0" w:line="240" w:lineRule="auto"/>
        <w:jc w:val="both"/>
      </w:pPr>
    </w:p>
    <w:p w14:paraId="62457FC0" w14:textId="77777777" w:rsidR="00B5686F" w:rsidRDefault="00B5686F" w:rsidP="00B5686F">
      <w:pPr>
        <w:spacing w:after="0" w:line="240" w:lineRule="auto"/>
        <w:jc w:val="both"/>
      </w:pPr>
    </w:p>
    <w:p w14:paraId="6393D9F6" w14:textId="4F4770F0" w:rsidR="00B5686F" w:rsidRPr="00B5686F" w:rsidRDefault="00635C59" w:rsidP="00B5686F">
      <w:pPr>
        <w:spacing w:after="0" w:line="240" w:lineRule="auto"/>
        <w:jc w:val="both"/>
      </w:pPr>
      <w:r>
        <w:rPr>
          <w:noProof/>
          <w:lang w:eastAsia="es-CO"/>
        </w:rPr>
        <w:drawing>
          <wp:anchor distT="0" distB="0" distL="114300" distR="114300" simplePos="0" relativeHeight="251660288" behindDoc="1" locked="0" layoutInCell="1" allowOverlap="1" wp14:anchorId="78B1D9EA" wp14:editId="2E649242">
            <wp:simplePos x="0" y="0"/>
            <wp:positionH relativeFrom="column">
              <wp:posOffset>1920240</wp:posOffset>
            </wp:positionH>
            <wp:positionV relativeFrom="paragraph">
              <wp:posOffset>71120</wp:posOffset>
            </wp:positionV>
            <wp:extent cx="600075" cy="100965"/>
            <wp:effectExtent l="0" t="0" r="9525" b="0"/>
            <wp:wrapTight wrapText="bothSides">
              <wp:wrapPolygon edited="0">
                <wp:start x="0" y="0"/>
                <wp:lineTo x="0" y="16302"/>
                <wp:lineTo x="21257" y="16302"/>
                <wp:lineTo x="21257" y="0"/>
                <wp:lineTo x="0" y="0"/>
              </wp:wrapPolygon>
            </wp:wrapTight>
            <wp:docPr id="17193749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20446" name="Imagen 1189420446"/>
                    <pic:cNvPicPr/>
                  </pic:nvPicPr>
                  <pic:blipFill>
                    <a:blip r:embed="rId11"/>
                    <a:stretch>
                      <a:fillRect/>
                    </a:stretch>
                  </pic:blipFill>
                  <pic:spPr>
                    <a:xfrm>
                      <a:off x="0" y="0"/>
                      <a:ext cx="600075" cy="100965"/>
                    </a:xfrm>
                    <a:prstGeom prst="rect">
                      <a:avLst/>
                    </a:prstGeom>
                  </pic:spPr>
                </pic:pic>
              </a:graphicData>
            </a:graphic>
            <wp14:sizeRelH relativeFrom="margin">
              <wp14:pctWidth>0</wp14:pctWidth>
            </wp14:sizeRelH>
            <wp14:sizeRelV relativeFrom="margin">
              <wp14:pctHeight>0</wp14:pctHeight>
            </wp14:sizeRelV>
          </wp:anchor>
        </w:drawing>
      </w:r>
      <w:r w:rsidR="00B5686F" w:rsidRPr="00B5686F">
        <w:t>Proyecto: Luz Stella Bahamón L.</w:t>
      </w:r>
      <w:r>
        <w:t xml:space="preserve"> </w:t>
      </w:r>
    </w:p>
    <w:p w14:paraId="1F7D8BA0" w14:textId="2B3A6815" w:rsidR="00B5686F" w:rsidRPr="00B5686F" w:rsidRDefault="00B5686F" w:rsidP="00B5686F">
      <w:pPr>
        <w:spacing w:after="0" w:line="240" w:lineRule="auto"/>
        <w:jc w:val="both"/>
      </w:pPr>
      <w:r w:rsidRPr="00B5686F">
        <w:t>Reviso:     Gilberto Parra Acosta</w:t>
      </w:r>
    </w:p>
    <w:p w14:paraId="440A319E" w14:textId="1E3B3106" w:rsidR="00B5686F" w:rsidRPr="00B5686F" w:rsidRDefault="00B5686F" w:rsidP="00B5686F">
      <w:pPr>
        <w:spacing w:after="0" w:line="240" w:lineRule="auto"/>
        <w:jc w:val="both"/>
      </w:pPr>
      <w:r w:rsidRPr="00B5686F">
        <w:t>Aprobó:    Gilberto Parra Acosta</w:t>
      </w:r>
    </w:p>
    <w:p w14:paraId="768C3D7F" w14:textId="11CE1E8E" w:rsidR="00B5686F" w:rsidRPr="00B5686F" w:rsidRDefault="00B5686F" w:rsidP="00B5686F">
      <w:pPr>
        <w:spacing w:after="0" w:line="240" w:lineRule="auto"/>
        <w:jc w:val="both"/>
      </w:pPr>
      <w:r w:rsidRPr="00B5686F">
        <w:t xml:space="preserve">Fecha: </w:t>
      </w:r>
      <w:r w:rsidR="00635C59">
        <w:t>18</w:t>
      </w:r>
      <w:r w:rsidRPr="00B5686F">
        <w:t xml:space="preserve"> de </w:t>
      </w:r>
      <w:r w:rsidR="00B05217">
        <w:t>dic</w:t>
      </w:r>
      <w:r w:rsidR="00180634" w:rsidRPr="00B5686F">
        <w:t>iembre</w:t>
      </w:r>
      <w:r w:rsidRPr="00B5686F">
        <w:t xml:space="preserve"> de 2024</w:t>
      </w:r>
    </w:p>
    <w:sectPr w:rsidR="00B5686F" w:rsidRPr="00B5686F" w:rsidSect="003D0F16">
      <w:headerReference w:type="default" r:id="rId12"/>
      <w:footerReference w:type="default" r:id="rId13"/>
      <w:pgSz w:w="12240" w:h="15840" w:code="1"/>
      <w:pgMar w:top="2268" w:right="1134" w:bottom="1134" w:left="1701"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4D33B" w14:textId="77777777" w:rsidR="005605BB" w:rsidRDefault="005605BB" w:rsidP="000C58E8">
      <w:pPr>
        <w:spacing w:after="0" w:line="240" w:lineRule="auto"/>
      </w:pPr>
      <w:r>
        <w:separator/>
      </w:r>
    </w:p>
  </w:endnote>
  <w:endnote w:type="continuationSeparator" w:id="0">
    <w:p w14:paraId="2AA84E4A" w14:textId="77777777" w:rsidR="005605BB" w:rsidRDefault="005605BB"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30FB" w14:textId="41F802D5" w:rsidR="00F10BDD" w:rsidRDefault="00EC76CB" w:rsidP="00F10BDD">
    <w:pPr>
      <w:pStyle w:val="Encabezado"/>
      <w:jc w:val="right"/>
    </w:pPr>
    <w:r>
      <w:rPr>
        <w:noProof/>
        <w:lang w:eastAsia="es-CO"/>
      </w:rPr>
      <w:t xml:space="preserve">                      </w:t>
    </w:r>
    <w:r>
      <w:t xml:space="preserve">                                                                                                </w:t>
    </w:r>
  </w:p>
  <w:p w14:paraId="5344A519" w14:textId="051E5211" w:rsidR="00D446B3" w:rsidRPr="00144C71" w:rsidRDefault="00D446B3" w:rsidP="00D446B3">
    <w:pPr>
      <w:pStyle w:val="Encabezado"/>
      <w:jc w:val="right"/>
    </w:pPr>
    <w:r>
      <w:rPr>
        <w:noProof/>
        <w:lang w:eastAsia="es-CO"/>
      </w:rPr>
      <w:t xml:space="preserve">                      </w:t>
    </w:r>
    <w:r>
      <w:t xml:space="preserve">                                                                                                                                                                                     </w:t>
    </w:r>
    <w:r w:rsidRPr="00144C71">
      <w:rPr>
        <w:rFonts w:ascii="Arial" w:eastAsia="Arial" w:hAnsi="Arial" w:cs="Arial"/>
        <w:color w:val="000000"/>
        <w:sz w:val="18"/>
        <w:szCs w:val="18"/>
      </w:rPr>
      <w:t xml:space="preserve">Página </w:t>
    </w:r>
    <w:r w:rsidRPr="00144C71">
      <w:rPr>
        <w:rFonts w:ascii="Arial" w:eastAsia="Arial" w:hAnsi="Arial" w:cs="Arial"/>
        <w:b/>
        <w:color w:val="000000"/>
        <w:sz w:val="18"/>
        <w:szCs w:val="18"/>
      </w:rPr>
      <w:fldChar w:fldCharType="begin"/>
    </w:r>
    <w:r w:rsidRPr="00144C71">
      <w:rPr>
        <w:rFonts w:ascii="Arial" w:eastAsia="Arial" w:hAnsi="Arial" w:cs="Arial"/>
        <w:b/>
        <w:color w:val="000000"/>
        <w:sz w:val="18"/>
        <w:szCs w:val="18"/>
      </w:rPr>
      <w:instrText>PAGE</w:instrText>
    </w:r>
    <w:r w:rsidRPr="00144C71">
      <w:rPr>
        <w:rFonts w:ascii="Arial" w:eastAsia="Arial" w:hAnsi="Arial" w:cs="Arial"/>
        <w:b/>
        <w:color w:val="000000"/>
        <w:sz w:val="18"/>
        <w:szCs w:val="18"/>
      </w:rPr>
      <w:fldChar w:fldCharType="separate"/>
    </w:r>
    <w:r w:rsidR="008902E4">
      <w:rPr>
        <w:rFonts w:ascii="Arial" w:eastAsia="Arial" w:hAnsi="Arial" w:cs="Arial"/>
        <w:b/>
        <w:noProof/>
        <w:color w:val="000000"/>
        <w:sz w:val="18"/>
        <w:szCs w:val="18"/>
      </w:rPr>
      <w:t>2</w:t>
    </w:r>
    <w:r w:rsidRPr="00144C71">
      <w:rPr>
        <w:rFonts w:ascii="Arial" w:eastAsia="Arial" w:hAnsi="Arial" w:cs="Arial"/>
        <w:b/>
        <w:color w:val="000000"/>
        <w:sz w:val="18"/>
        <w:szCs w:val="18"/>
      </w:rPr>
      <w:fldChar w:fldCharType="end"/>
    </w:r>
    <w:r w:rsidRPr="00144C71">
      <w:rPr>
        <w:rFonts w:ascii="Arial" w:eastAsia="Arial" w:hAnsi="Arial" w:cs="Arial"/>
        <w:color w:val="000000"/>
        <w:sz w:val="18"/>
        <w:szCs w:val="18"/>
      </w:rPr>
      <w:t xml:space="preserve"> de </w:t>
    </w:r>
    <w:r w:rsidRPr="00144C71">
      <w:rPr>
        <w:rFonts w:ascii="Arial" w:eastAsia="Arial" w:hAnsi="Arial" w:cs="Arial"/>
        <w:b/>
        <w:color w:val="000000"/>
        <w:sz w:val="18"/>
        <w:szCs w:val="18"/>
      </w:rPr>
      <w:fldChar w:fldCharType="begin"/>
    </w:r>
    <w:r w:rsidRPr="00144C71">
      <w:rPr>
        <w:rFonts w:ascii="Arial" w:eastAsia="Arial" w:hAnsi="Arial" w:cs="Arial"/>
        <w:b/>
        <w:color w:val="000000"/>
        <w:sz w:val="18"/>
        <w:szCs w:val="18"/>
      </w:rPr>
      <w:instrText>NUMPAGES</w:instrText>
    </w:r>
    <w:r w:rsidRPr="00144C71">
      <w:rPr>
        <w:rFonts w:ascii="Arial" w:eastAsia="Arial" w:hAnsi="Arial" w:cs="Arial"/>
        <w:b/>
        <w:color w:val="000000"/>
        <w:sz w:val="18"/>
        <w:szCs w:val="18"/>
      </w:rPr>
      <w:fldChar w:fldCharType="separate"/>
    </w:r>
    <w:r w:rsidR="008902E4">
      <w:rPr>
        <w:rFonts w:ascii="Arial" w:eastAsia="Arial" w:hAnsi="Arial" w:cs="Arial"/>
        <w:b/>
        <w:noProof/>
        <w:color w:val="000000"/>
        <w:sz w:val="18"/>
        <w:szCs w:val="18"/>
      </w:rPr>
      <w:t>8</w:t>
    </w:r>
    <w:r w:rsidRPr="00144C71">
      <w:rPr>
        <w:rFonts w:ascii="Arial" w:eastAsia="Arial" w:hAnsi="Arial" w:cs="Arial"/>
        <w:b/>
        <w:color w:val="000000"/>
        <w:sz w:val="18"/>
        <w:szCs w:val="18"/>
      </w:rPr>
      <w:fldChar w:fldCharType="end"/>
    </w:r>
  </w:p>
  <w:p w14:paraId="0B7E8C3F" w14:textId="77777777" w:rsidR="00D446B3" w:rsidRPr="00144C71" w:rsidRDefault="00D446B3" w:rsidP="00D446B3">
    <w:pPr>
      <w:keepNext/>
      <w:keepLines/>
      <w:tabs>
        <w:tab w:val="center" w:pos="4419"/>
        <w:tab w:val="right" w:pos="8838"/>
      </w:tabs>
      <w:spacing w:after="0" w:line="240" w:lineRule="auto"/>
      <w:rPr>
        <w:rFonts w:ascii="Arial" w:hAnsi="Arial" w:cs="Arial"/>
        <w:sz w:val="16"/>
        <w:szCs w:val="16"/>
      </w:rPr>
    </w:pPr>
    <w:r w:rsidRPr="00144C71">
      <w:rPr>
        <w:rFonts w:ascii="Arial" w:hAnsi="Arial" w:cs="Arial"/>
        <w:noProof/>
        <w:sz w:val="16"/>
        <w:szCs w:val="16"/>
        <w:lang w:eastAsia="es-CO"/>
      </w:rPr>
      <w:drawing>
        <wp:anchor distT="114300" distB="114300" distL="114300" distR="114300" simplePos="0" relativeHeight="251663872" behindDoc="0" locked="0" layoutInCell="1" allowOverlap="1" wp14:anchorId="2E8D8FA6" wp14:editId="07CCA7D4">
          <wp:simplePos x="0" y="0"/>
          <wp:positionH relativeFrom="column">
            <wp:posOffset>5295900</wp:posOffset>
          </wp:positionH>
          <wp:positionV relativeFrom="paragraph">
            <wp:posOffset>171450</wp:posOffset>
          </wp:positionV>
          <wp:extent cx="673100" cy="714375"/>
          <wp:effectExtent l="0" t="0" r="0" b="9525"/>
          <wp:wrapNone/>
          <wp:docPr id="9" name="Imagen 9"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l="86263" t="8830" b="26369"/>
                  <a:stretch>
                    <a:fillRect/>
                  </a:stretch>
                </pic:blipFill>
                <pic:spPr bwMode="auto">
                  <a:xfrm>
                    <a:off x="0" y="0"/>
                    <a:ext cx="673100" cy="714375"/>
                  </a:xfrm>
                  <a:prstGeom prst="rect">
                    <a:avLst/>
                  </a:prstGeom>
                  <a:noFill/>
                </pic:spPr>
              </pic:pic>
            </a:graphicData>
          </a:graphic>
          <wp14:sizeRelH relativeFrom="page">
            <wp14:pctWidth>0</wp14:pctWidth>
          </wp14:sizeRelH>
          <wp14:sizeRelV relativeFrom="page">
            <wp14:pctHeight>0</wp14:pctHeight>
          </wp14:sizeRelV>
        </wp:anchor>
      </w:drawing>
    </w:r>
    <w:r w:rsidRPr="00144C71">
      <w:rPr>
        <w:rFonts w:ascii="Arial" w:hAnsi="Arial" w:cs="Arial"/>
        <w:sz w:val="16"/>
        <w:szCs w:val="16"/>
      </w:rPr>
      <w:t xml:space="preserve">Calle 54 No. 13-30 </w:t>
    </w:r>
  </w:p>
  <w:p w14:paraId="10D71066" w14:textId="77777777" w:rsidR="00D446B3" w:rsidRPr="00144C71" w:rsidRDefault="00D446B3" w:rsidP="00D446B3">
    <w:pPr>
      <w:keepNext/>
      <w:keepLines/>
      <w:tabs>
        <w:tab w:val="center" w:pos="4419"/>
        <w:tab w:val="right" w:pos="8838"/>
      </w:tabs>
      <w:spacing w:after="0" w:line="240" w:lineRule="auto"/>
      <w:rPr>
        <w:rFonts w:ascii="Arial" w:hAnsi="Arial" w:cs="Arial"/>
        <w:sz w:val="16"/>
        <w:szCs w:val="16"/>
      </w:rPr>
    </w:pPr>
    <w:r w:rsidRPr="00144C71">
      <w:rPr>
        <w:rFonts w:ascii="Arial" w:hAnsi="Arial" w:cs="Arial"/>
        <w:sz w:val="16"/>
        <w:szCs w:val="16"/>
      </w:rPr>
      <w:t xml:space="preserve">Código Postal: 110231, Bogotá D.C. </w:t>
    </w:r>
  </w:p>
  <w:p w14:paraId="259CE5C8" w14:textId="77777777" w:rsidR="00D446B3" w:rsidRPr="00144C71" w:rsidRDefault="00D446B3" w:rsidP="00D446B3">
    <w:pPr>
      <w:keepNext/>
      <w:keepLines/>
      <w:tabs>
        <w:tab w:val="center" w:pos="4419"/>
        <w:tab w:val="right" w:pos="8838"/>
      </w:tabs>
      <w:spacing w:after="0" w:line="240" w:lineRule="auto"/>
      <w:rPr>
        <w:rFonts w:ascii="Arial" w:hAnsi="Arial" w:cs="Arial"/>
        <w:sz w:val="16"/>
        <w:szCs w:val="16"/>
      </w:rPr>
    </w:pPr>
    <w:r w:rsidRPr="00144C71">
      <w:rPr>
        <w:rFonts w:ascii="Arial" w:hAnsi="Arial" w:cs="Arial"/>
        <w:sz w:val="16"/>
        <w:szCs w:val="16"/>
      </w:rPr>
      <w:t xml:space="preserve">PBX: (60-1) 3494550​ - (60-1) 3494520 </w:t>
    </w:r>
  </w:p>
  <w:p w14:paraId="0F280380" w14:textId="77777777" w:rsidR="00D446B3" w:rsidRPr="00144C71" w:rsidRDefault="00D446B3" w:rsidP="00D446B3">
    <w:pPr>
      <w:keepNext/>
      <w:keepLines/>
      <w:tabs>
        <w:tab w:val="center" w:pos="4419"/>
        <w:tab w:val="right" w:pos="8838"/>
      </w:tabs>
      <w:spacing w:after="0" w:line="240" w:lineRule="auto"/>
      <w:rPr>
        <w:rFonts w:ascii="Arial" w:hAnsi="Arial" w:cs="Arial"/>
        <w:sz w:val="16"/>
        <w:szCs w:val="16"/>
      </w:rPr>
    </w:pPr>
    <w:r w:rsidRPr="00144C71">
      <w:rPr>
        <w:rFonts w:ascii="Arial" w:hAnsi="Arial" w:cs="Arial"/>
        <w:sz w:val="16"/>
        <w:szCs w:val="16"/>
      </w:rPr>
      <w:t xml:space="preserve">FAX:(60-1) 310 5583 </w:t>
    </w:r>
  </w:p>
  <w:p w14:paraId="0D1AF0D0" w14:textId="77777777" w:rsidR="00D446B3" w:rsidRPr="00144C71" w:rsidRDefault="00D446B3" w:rsidP="00D446B3">
    <w:pPr>
      <w:keepNext/>
      <w:keepLines/>
      <w:tabs>
        <w:tab w:val="center" w:pos="4419"/>
        <w:tab w:val="right" w:pos="8838"/>
      </w:tabs>
      <w:spacing w:after="0" w:line="240" w:lineRule="auto"/>
      <w:rPr>
        <w:rFonts w:ascii="Arial" w:hAnsi="Arial" w:cs="Arial"/>
        <w:sz w:val="16"/>
        <w:szCs w:val="16"/>
      </w:rPr>
    </w:pPr>
    <w:r w:rsidRPr="00144C71">
      <w:rPr>
        <w:rFonts w:ascii="Arial" w:hAnsi="Arial" w:cs="Arial"/>
        <w:sz w:val="16"/>
        <w:szCs w:val="16"/>
      </w:rPr>
      <w:t xml:space="preserve">www.cajaviviendapopular.gov.co </w:t>
    </w:r>
  </w:p>
  <w:p w14:paraId="5D950E96" w14:textId="77777777" w:rsidR="00D446B3" w:rsidRPr="00144C71" w:rsidRDefault="005605BB" w:rsidP="00D446B3">
    <w:pPr>
      <w:keepNext/>
      <w:keepLines/>
      <w:tabs>
        <w:tab w:val="center" w:pos="4419"/>
        <w:tab w:val="right" w:pos="8838"/>
      </w:tabs>
      <w:spacing w:after="0" w:line="240" w:lineRule="auto"/>
      <w:rPr>
        <w:rFonts w:ascii="Arial" w:hAnsi="Arial" w:cs="Arial"/>
        <w:sz w:val="16"/>
        <w:szCs w:val="16"/>
      </w:rPr>
    </w:pPr>
    <w:hyperlink r:id="rId2" w:history="1">
      <w:r w:rsidR="00D446B3" w:rsidRPr="00144C71">
        <w:rPr>
          <w:rStyle w:val="Hipervnculo"/>
          <w:rFonts w:ascii="Arial" w:hAnsi="Arial" w:cs="Arial"/>
          <w:color w:val="1155CC"/>
          <w:sz w:val="16"/>
          <w:szCs w:val="16"/>
        </w:rPr>
        <w:t>soluciones@cajaviviendapopular.gov.co</w:t>
      </w:r>
    </w:hyperlink>
  </w:p>
  <w:p w14:paraId="3A5D8515" w14:textId="77777777" w:rsidR="00D446B3" w:rsidRPr="00144C71" w:rsidRDefault="00D446B3" w:rsidP="00D446B3">
    <w:pPr>
      <w:keepNext/>
      <w:keepLines/>
      <w:tabs>
        <w:tab w:val="center" w:pos="4419"/>
        <w:tab w:val="right" w:pos="8838"/>
      </w:tabs>
      <w:spacing w:after="0" w:line="240" w:lineRule="auto"/>
      <w:rPr>
        <w:rFonts w:ascii="Arial" w:hAnsi="Arial" w:cs="Arial"/>
        <w:sz w:val="16"/>
        <w:szCs w:val="16"/>
      </w:rPr>
    </w:pPr>
  </w:p>
  <w:p w14:paraId="30C74262" w14:textId="1FF63D5B" w:rsidR="00D446B3" w:rsidRPr="007E04DF" w:rsidRDefault="00D446B3" w:rsidP="00D446B3">
    <w:pPr>
      <w:pStyle w:val="Piedepgina"/>
      <w:ind w:left="-142" w:firstLine="142"/>
      <w:rPr>
        <w:rFonts w:ascii="Arial" w:hAnsi="Arial" w:cs="Arial"/>
        <w:color w:val="A6A6A6" w:themeColor="background1" w:themeShade="A6"/>
        <w:sz w:val="16"/>
        <w:szCs w:val="16"/>
      </w:rPr>
    </w:pPr>
    <w:r w:rsidRPr="00D446B3">
      <w:rPr>
        <w:rFonts w:ascii="Arial" w:hAnsi="Arial" w:cs="Arial"/>
        <w:color w:val="A6A6A6" w:themeColor="background1" w:themeShade="A6"/>
        <w:sz w:val="16"/>
        <w:szCs w:val="16"/>
      </w:rPr>
      <w:t>208-GD-Ft-12</w:t>
    </w:r>
    <w:r w:rsidR="009A75A7">
      <w:rPr>
        <w:rFonts w:ascii="Arial" w:hAnsi="Arial" w:cs="Arial"/>
        <w:color w:val="A6A6A6" w:themeColor="background1" w:themeShade="A6"/>
        <w:sz w:val="16"/>
        <w:szCs w:val="16"/>
      </w:rPr>
      <w:t>6</w:t>
    </w:r>
    <w:r w:rsidRPr="00D446B3">
      <w:rPr>
        <w:rFonts w:ascii="Arial" w:hAnsi="Arial" w:cs="Arial"/>
        <w:color w:val="A6A6A6" w:themeColor="background1" w:themeShade="A6"/>
        <w:sz w:val="16"/>
        <w:szCs w:val="16"/>
      </w:rPr>
      <w:t xml:space="preserve"> - Versión </w:t>
    </w:r>
    <w:r w:rsidR="00B45AAE">
      <w:rPr>
        <w:rFonts w:ascii="Arial" w:hAnsi="Arial" w:cs="Arial"/>
        <w:color w:val="A6A6A6" w:themeColor="background1" w:themeShade="A6"/>
        <w:sz w:val="16"/>
        <w:szCs w:val="16"/>
      </w:rPr>
      <w:t>2</w:t>
    </w:r>
    <w:r w:rsidRPr="00D446B3">
      <w:rPr>
        <w:rFonts w:ascii="Arial" w:hAnsi="Arial" w:cs="Arial"/>
        <w:color w:val="A6A6A6" w:themeColor="background1" w:themeShade="A6"/>
        <w:sz w:val="16"/>
        <w:szCs w:val="16"/>
      </w:rPr>
      <w:t xml:space="preserve"> - Vigente desde: 2</w:t>
    </w:r>
    <w:r w:rsidR="00B45AAE">
      <w:rPr>
        <w:rFonts w:ascii="Arial" w:hAnsi="Arial" w:cs="Arial"/>
        <w:color w:val="A6A6A6" w:themeColor="background1" w:themeShade="A6"/>
        <w:sz w:val="16"/>
        <w:szCs w:val="16"/>
      </w:rPr>
      <w:t>5/01/2024</w:t>
    </w:r>
  </w:p>
  <w:p w14:paraId="674A7594" w14:textId="77777777" w:rsidR="00D446B3" w:rsidRPr="007E04DF" w:rsidRDefault="00D446B3" w:rsidP="00D446B3">
    <w:pPr>
      <w:tabs>
        <w:tab w:val="center" w:pos="4419"/>
        <w:tab w:val="right" w:pos="8838"/>
      </w:tabs>
      <w:spacing w:after="0" w:line="240" w:lineRule="auto"/>
      <w:jc w:val="right"/>
      <w:rPr>
        <w:sz w:val="16"/>
        <w:szCs w:val="16"/>
      </w:rPr>
    </w:pPr>
  </w:p>
  <w:p w14:paraId="7B81B6B8" w14:textId="3DCF42DB" w:rsidR="00EC76CB" w:rsidRDefault="00EC76CB" w:rsidP="00D446B3">
    <w:pPr>
      <w:tabs>
        <w:tab w:val="center" w:pos="4419"/>
        <w:tab w:val="right" w:pos="8838"/>
      </w:tabs>
      <w:spacing w:after="0"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1FD88" w14:textId="77777777" w:rsidR="005605BB" w:rsidRDefault="005605BB" w:rsidP="000C58E8">
      <w:pPr>
        <w:spacing w:after="0" w:line="240" w:lineRule="auto"/>
      </w:pPr>
      <w:r>
        <w:separator/>
      </w:r>
    </w:p>
  </w:footnote>
  <w:footnote w:type="continuationSeparator" w:id="0">
    <w:p w14:paraId="199D5CA8" w14:textId="77777777" w:rsidR="005605BB" w:rsidRDefault="005605BB"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740E" w14:textId="5343AAA1" w:rsidR="00791BE0" w:rsidRDefault="00791BE0" w:rsidP="00791BE0">
    <w:pPr>
      <w:pStyle w:val="Estilopredeterminado"/>
      <w:tabs>
        <w:tab w:val="left" w:pos="1485"/>
      </w:tabs>
      <w:spacing w:after="0" w:line="240" w:lineRule="auto"/>
      <w:ind w:firstLine="142"/>
      <w:jc w:val="center"/>
      <w:rPr>
        <w:rFonts w:ascii="Arial" w:eastAsia="Calibri" w:hAnsi="Arial" w:cs="Arial"/>
        <w:b/>
        <w:color w:val="000000" w:themeColor="text1"/>
        <w:sz w:val="28"/>
        <w:szCs w:val="28"/>
        <w:lang w:eastAsia="en-US"/>
      </w:rPr>
    </w:pPr>
    <w:r w:rsidRPr="00C0665E">
      <w:rPr>
        <w:rFonts w:ascii="Arial" w:eastAsia="Calibri" w:hAnsi="Arial" w:cs="Arial"/>
        <w:b/>
        <w:noProof/>
        <w:color w:val="000000" w:themeColor="text1"/>
        <w:sz w:val="28"/>
        <w:szCs w:val="28"/>
        <w:lang w:eastAsia="es-CO"/>
      </w:rPr>
      <w:drawing>
        <wp:anchor distT="0" distB="0" distL="114300" distR="114300" simplePos="0" relativeHeight="251661824" behindDoc="0" locked="0" layoutInCell="1" allowOverlap="1" wp14:anchorId="1FCBAB50" wp14:editId="7B0E451A">
          <wp:simplePos x="0" y="0"/>
          <wp:positionH relativeFrom="margin">
            <wp:posOffset>-773430</wp:posOffset>
          </wp:positionH>
          <wp:positionV relativeFrom="margin">
            <wp:posOffset>-1269365</wp:posOffset>
          </wp:positionV>
          <wp:extent cx="2507226" cy="702308"/>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07226" cy="702308"/>
                  </a:xfrm>
                  <a:prstGeom prst="rect">
                    <a:avLst/>
                  </a:prstGeom>
                  <a:ln>
                    <a:noFill/>
                  </a:ln>
                  <a:extLst>
                    <a:ext uri="{53640926-AAD7-44D8-BBD7-CCE9431645EC}">
                      <a14:shadowObscured xmlns:a14="http://schemas.microsoft.com/office/drawing/2010/main"/>
                    </a:ext>
                  </a:extLst>
                </pic:spPr>
              </pic:pic>
            </a:graphicData>
          </a:graphic>
        </wp:anchor>
      </w:drawing>
    </w:r>
  </w:p>
  <w:p w14:paraId="4D76E4E6" w14:textId="77777777" w:rsidR="00791BE0" w:rsidRDefault="00791BE0" w:rsidP="00791BE0">
    <w:pPr>
      <w:pStyle w:val="Estilopredeterminado"/>
      <w:tabs>
        <w:tab w:val="left" w:pos="1485"/>
      </w:tabs>
      <w:spacing w:after="0" w:line="240" w:lineRule="auto"/>
      <w:ind w:firstLine="142"/>
      <w:jc w:val="center"/>
      <w:rPr>
        <w:rFonts w:ascii="Arial" w:eastAsia="Calibri" w:hAnsi="Arial" w:cs="Arial"/>
        <w:b/>
        <w:color w:val="000000" w:themeColor="text1"/>
        <w:sz w:val="28"/>
        <w:szCs w:val="28"/>
        <w:lang w:eastAsia="en-US"/>
      </w:rPr>
    </w:pPr>
  </w:p>
  <w:p w14:paraId="33E5DD8C" w14:textId="77777777" w:rsidR="00791BE0" w:rsidRDefault="00791BE0" w:rsidP="00791BE0">
    <w:pPr>
      <w:pStyle w:val="Estilopredeterminado"/>
      <w:tabs>
        <w:tab w:val="left" w:pos="1485"/>
      </w:tabs>
      <w:spacing w:after="0" w:line="240" w:lineRule="auto"/>
      <w:ind w:firstLine="142"/>
      <w:jc w:val="center"/>
      <w:rPr>
        <w:rFonts w:ascii="Arial" w:eastAsia="Calibri" w:hAnsi="Arial" w:cs="Arial"/>
        <w:b/>
        <w:color w:val="000000" w:themeColor="text1"/>
        <w:sz w:val="28"/>
        <w:szCs w:val="28"/>
        <w:lang w:eastAsia="en-US"/>
      </w:rPr>
    </w:pPr>
  </w:p>
  <w:p w14:paraId="66806972" w14:textId="4122131A" w:rsidR="00EC76CB" w:rsidRDefault="00791BE0" w:rsidP="00791BE0">
    <w:pPr>
      <w:pStyle w:val="Estilopredeterminado"/>
      <w:tabs>
        <w:tab w:val="left" w:pos="1485"/>
      </w:tabs>
      <w:spacing w:after="0" w:line="240" w:lineRule="auto"/>
      <w:ind w:firstLine="142"/>
      <w:jc w:val="center"/>
      <w:rPr>
        <w:rFonts w:ascii="Arial" w:eastAsia="Calibri" w:hAnsi="Arial" w:cs="Arial"/>
        <w:b/>
        <w:color w:val="000000" w:themeColor="text1"/>
        <w:sz w:val="28"/>
        <w:szCs w:val="28"/>
        <w:lang w:eastAsia="en-US"/>
      </w:rPr>
    </w:pPr>
    <w:r>
      <w:rPr>
        <w:rFonts w:ascii="Arial" w:eastAsia="Calibri" w:hAnsi="Arial" w:cs="Arial"/>
        <w:b/>
        <w:color w:val="000000" w:themeColor="text1"/>
        <w:sz w:val="28"/>
        <w:szCs w:val="28"/>
        <w:lang w:eastAsia="en-US"/>
      </w:rPr>
      <w:t>CONCEPTO TECNICO</w:t>
    </w:r>
  </w:p>
  <w:p w14:paraId="2DEB1B61" w14:textId="35312069" w:rsidR="00791BE0" w:rsidRPr="00C0665E" w:rsidRDefault="00791BE0" w:rsidP="00791BE0">
    <w:pPr>
      <w:pStyle w:val="Estilopredeterminado"/>
      <w:tabs>
        <w:tab w:val="left" w:pos="1485"/>
      </w:tabs>
      <w:spacing w:after="0" w:line="240" w:lineRule="auto"/>
      <w:ind w:firstLine="142"/>
      <w:jc w:val="center"/>
      <w:rPr>
        <w:rFonts w:ascii="Arial" w:eastAsia="Calibri" w:hAnsi="Arial" w:cs="Arial"/>
        <w:b/>
        <w:color w:val="000000" w:themeColor="text1"/>
        <w:lang w:eastAsia="en-US"/>
      </w:rPr>
    </w:pPr>
    <w:r>
      <w:rPr>
        <w:rFonts w:ascii="Arial" w:eastAsia="Calibri" w:hAnsi="Arial" w:cs="Arial"/>
        <w:b/>
        <w:color w:val="000000" w:themeColor="text1"/>
        <w:sz w:val="28"/>
        <w:szCs w:val="28"/>
        <w:lang w:eastAsia="en-US"/>
      </w:rPr>
      <w:t>ELIMINACION SERIES DOCUMENTALES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F9219A"/>
    <w:multiLevelType w:val="hybridMultilevel"/>
    <w:tmpl w:val="856CF5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490864"/>
    <w:multiLevelType w:val="hybridMultilevel"/>
    <w:tmpl w:val="1804D0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15547B"/>
    <w:multiLevelType w:val="hybridMultilevel"/>
    <w:tmpl w:val="607280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E5B6C52"/>
    <w:multiLevelType w:val="hybridMultilevel"/>
    <w:tmpl w:val="90A0BA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332F"/>
    <w:rsid w:val="00004084"/>
    <w:rsid w:val="000058F7"/>
    <w:rsid w:val="00016BB7"/>
    <w:rsid w:val="000256D8"/>
    <w:rsid w:val="00030446"/>
    <w:rsid w:val="00031F3B"/>
    <w:rsid w:val="000405C8"/>
    <w:rsid w:val="00051E81"/>
    <w:rsid w:val="00057F6B"/>
    <w:rsid w:val="00064ECE"/>
    <w:rsid w:val="00065480"/>
    <w:rsid w:val="00066096"/>
    <w:rsid w:val="00076C23"/>
    <w:rsid w:val="00096C40"/>
    <w:rsid w:val="000B0B57"/>
    <w:rsid w:val="000C4A79"/>
    <w:rsid w:val="000C58E8"/>
    <w:rsid w:val="000D0403"/>
    <w:rsid w:val="000D72BC"/>
    <w:rsid w:val="000E1F8B"/>
    <w:rsid w:val="000E6F99"/>
    <w:rsid w:val="001011D2"/>
    <w:rsid w:val="001109CD"/>
    <w:rsid w:val="00111060"/>
    <w:rsid w:val="00115D03"/>
    <w:rsid w:val="00137F27"/>
    <w:rsid w:val="0015130E"/>
    <w:rsid w:val="00166F53"/>
    <w:rsid w:val="00177920"/>
    <w:rsid w:val="00180634"/>
    <w:rsid w:val="00184727"/>
    <w:rsid w:val="0018498E"/>
    <w:rsid w:val="0019480F"/>
    <w:rsid w:val="001964B7"/>
    <w:rsid w:val="001A17FE"/>
    <w:rsid w:val="001B78D3"/>
    <w:rsid w:val="001B7EAC"/>
    <w:rsid w:val="001C59BC"/>
    <w:rsid w:val="001D2790"/>
    <w:rsid w:val="001D5963"/>
    <w:rsid w:val="001E0FAD"/>
    <w:rsid w:val="001F03BC"/>
    <w:rsid w:val="002034E3"/>
    <w:rsid w:val="002047AE"/>
    <w:rsid w:val="002127D2"/>
    <w:rsid w:val="00221395"/>
    <w:rsid w:val="00221EC5"/>
    <w:rsid w:val="002274DF"/>
    <w:rsid w:val="00241A63"/>
    <w:rsid w:val="0024386E"/>
    <w:rsid w:val="002451FD"/>
    <w:rsid w:val="00253BCC"/>
    <w:rsid w:val="00275724"/>
    <w:rsid w:val="0027777A"/>
    <w:rsid w:val="0028266E"/>
    <w:rsid w:val="002A4276"/>
    <w:rsid w:val="002A4286"/>
    <w:rsid w:val="002A4E15"/>
    <w:rsid w:val="002A568E"/>
    <w:rsid w:val="002C67B6"/>
    <w:rsid w:val="002D6A92"/>
    <w:rsid w:val="002E211A"/>
    <w:rsid w:val="002F26EF"/>
    <w:rsid w:val="00303675"/>
    <w:rsid w:val="003123FD"/>
    <w:rsid w:val="00342842"/>
    <w:rsid w:val="00352B19"/>
    <w:rsid w:val="00375683"/>
    <w:rsid w:val="00380632"/>
    <w:rsid w:val="003A0989"/>
    <w:rsid w:val="003C3379"/>
    <w:rsid w:val="003C5CA8"/>
    <w:rsid w:val="003C6840"/>
    <w:rsid w:val="003D08FF"/>
    <w:rsid w:val="003D0F16"/>
    <w:rsid w:val="003D4E9B"/>
    <w:rsid w:val="003F6965"/>
    <w:rsid w:val="0042440B"/>
    <w:rsid w:val="00454A74"/>
    <w:rsid w:val="00455F0E"/>
    <w:rsid w:val="0046767B"/>
    <w:rsid w:val="00473324"/>
    <w:rsid w:val="00482752"/>
    <w:rsid w:val="004914CB"/>
    <w:rsid w:val="004A03DC"/>
    <w:rsid w:val="004A38C0"/>
    <w:rsid w:val="004A779E"/>
    <w:rsid w:val="004D1B2E"/>
    <w:rsid w:val="004D5A43"/>
    <w:rsid w:val="004E2C24"/>
    <w:rsid w:val="004E4974"/>
    <w:rsid w:val="004F5E67"/>
    <w:rsid w:val="004F62C8"/>
    <w:rsid w:val="00511747"/>
    <w:rsid w:val="0053075B"/>
    <w:rsid w:val="00536173"/>
    <w:rsid w:val="005546AF"/>
    <w:rsid w:val="005558D4"/>
    <w:rsid w:val="005605BB"/>
    <w:rsid w:val="0058459B"/>
    <w:rsid w:val="005859CA"/>
    <w:rsid w:val="00590A5D"/>
    <w:rsid w:val="005A5B24"/>
    <w:rsid w:val="005A6595"/>
    <w:rsid w:val="005B7AD5"/>
    <w:rsid w:val="005C7E8D"/>
    <w:rsid w:val="005D6B51"/>
    <w:rsid w:val="006036EB"/>
    <w:rsid w:val="00603917"/>
    <w:rsid w:val="0061361A"/>
    <w:rsid w:val="00614BB2"/>
    <w:rsid w:val="00615698"/>
    <w:rsid w:val="00622DC6"/>
    <w:rsid w:val="0062499E"/>
    <w:rsid w:val="00635C59"/>
    <w:rsid w:val="0063656D"/>
    <w:rsid w:val="006430E4"/>
    <w:rsid w:val="00647F89"/>
    <w:rsid w:val="00650631"/>
    <w:rsid w:val="00652F5C"/>
    <w:rsid w:val="00660B30"/>
    <w:rsid w:val="00663FC5"/>
    <w:rsid w:val="006726D3"/>
    <w:rsid w:val="006817F7"/>
    <w:rsid w:val="00683446"/>
    <w:rsid w:val="006A21A5"/>
    <w:rsid w:val="006A28CC"/>
    <w:rsid w:val="006B104C"/>
    <w:rsid w:val="006C0071"/>
    <w:rsid w:val="006C09AA"/>
    <w:rsid w:val="006D1655"/>
    <w:rsid w:val="006E54C6"/>
    <w:rsid w:val="00711BE8"/>
    <w:rsid w:val="00725BD5"/>
    <w:rsid w:val="00726F28"/>
    <w:rsid w:val="0073075D"/>
    <w:rsid w:val="00732F8C"/>
    <w:rsid w:val="007375DE"/>
    <w:rsid w:val="007556F0"/>
    <w:rsid w:val="00762049"/>
    <w:rsid w:val="007713F1"/>
    <w:rsid w:val="007730BC"/>
    <w:rsid w:val="00775BD1"/>
    <w:rsid w:val="00776343"/>
    <w:rsid w:val="00777A6F"/>
    <w:rsid w:val="00791BE0"/>
    <w:rsid w:val="00795CDA"/>
    <w:rsid w:val="007A16FA"/>
    <w:rsid w:val="007A3A62"/>
    <w:rsid w:val="007B44EF"/>
    <w:rsid w:val="007B5930"/>
    <w:rsid w:val="007C0B3D"/>
    <w:rsid w:val="007C5511"/>
    <w:rsid w:val="007D7104"/>
    <w:rsid w:val="007E046B"/>
    <w:rsid w:val="007F0BB2"/>
    <w:rsid w:val="007F119D"/>
    <w:rsid w:val="007F62AA"/>
    <w:rsid w:val="00807C69"/>
    <w:rsid w:val="0081152E"/>
    <w:rsid w:val="00825DB4"/>
    <w:rsid w:val="00840208"/>
    <w:rsid w:val="00860F80"/>
    <w:rsid w:val="00877678"/>
    <w:rsid w:val="008902E4"/>
    <w:rsid w:val="00897924"/>
    <w:rsid w:val="008A1C80"/>
    <w:rsid w:val="008A60F2"/>
    <w:rsid w:val="008A7054"/>
    <w:rsid w:val="008B38A3"/>
    <w:rsid w:val="008C0052"/>
    <w:rsid w:val="008C5602"/>
    <w:rsid w:val="008C71E3"/>
    <w:rsid w:val="008E1063"/>
    <w:rsid w:val="008E14EB"/>
    <w:rsid w:val="00910525"/>
    <w:rsid w:val="00911E5D"/>
    <w:rsid w:val="00912941"/>
    <w:rsid w:val="00917FB5"/>
    <w:rsid w:val="00921904"/>
    <w:rsid w:val="00923EA5"/>
    <w:rsid w:val="00933218"/>
    <w:rsid w:val="00941E95"/>
    <w:rsid w:val="009554B9"/>
    <w:rsid w:val="00957333"/>
    <w:rsid w:val="0096554F"/>
    <w:rsid w:val="009732B4"/>
    <w:rsid w:val="009A75A7"/>
    <w:rsid w:val="009C38D8"/>
    <w:rsid w:val="009D165F"/>
    <w:rsid w:val="009F0595"/>
    <w:rsid w:val="00A149DF"/>
    <w:rsid w:val="00A17A5A"/>
    <w:rsid w:val="00A234CD"/>
    <w:rsid w:val="00A2521B"/>
    <w:rsid w:val="00A474B0"/>
    <w:rsid w:val="00A55294"/>
    <w:rsid w:val="00A640A4"/>
    <w:rsid w:val="00A77DC7"/>
    <w:rsid w:val="00A91703"/>
    <w:rsid w:val="00A95B08"/>
    <w:rsid w:val="00AA12D1"/>
    <w:rsid w:val="00AA3754"/>
    <w:rsid w:val="00AC088E"/>
    <w:rsid w:val="00AC24E2"/>
    <w:rsid w:val="00AC3BC9"/>
    <w:rsid w:val="00AD0A48"/>
    <w:rsid w:val="00AE7B5D"/>
    <w:rsid w:val="00AF054F"/>
    <w:rsid w:val="00B020D9"/>
    <w:rsid w:val="00B05217"/>
    <w:rsid w:val="00B17EF6"/>
    <w:rsid w:val="00B45AAE"/>
    <w:rsid w:val="00B5686F"/>
    <w:rsid w:val="00B6694C"/>
    <w:rsid w:val="00B66EAF"/>
    <w:rsid w:val="00B70686"/>
    <w:rsid w:val="00B748FA"/>
    <w:rsid w:val="00B77EC9"/>
    <w:rsid w:val="00B91EFE"/>
    <w:rsid w:val="00B9424D"/>
    <w:rsid w:val="00B94404"/>
    <w:rsid w:val="00BA2636"/>
    <w:rsid w:val="00BC2164"/>
    <w:rsid w:val="00BD0322"/>
    <w:rsid w:val="00BD6B17"/>
    <w:rsid w:val="00BE4B4D"/>
    <w:rsid w:val="00BE6AC9"/>
    <w:rsid w:val="00C058F6"/>
    <w:rsid w:val="00C0665E"/>
    <w:rsid w:val="00C12E80"/>
    <w:rsid w:val="00C14634"/>
    <w:rsid w:val="00C2599E"/>
    <w:rsid w:val="00C364CA"/>
    <w:rsid w:val="00C42EAF"/>
    <w:rsid w:val="00C45E43"/>
    <w:rsid w:val="00C46DA1"/>
    <w:rsid w:val="00C63F7A"/>
    <w:rsid w:val="00CB1C45"/>
    <w:rsid w:val="00CC0119"/>
    <w:rsid w:val="00CE01AC"/>
    <w:rsid w:val="00CF6CA7"/>
    <w:rsid w:val="00D13D50"/>
    <w:rsid w:val="00D31B1E"/>
    <w:rsid w:val="00D326A6"/>
    <w:rsid w:val="00D33197"/>
    <w:rsid w:val="00D446B3"/>
    <w:rsid w:val="00D54968"/>
    <w:rsid w:val="00D64B87"/>
    <w:rsid w:val="00D76A8E"/>
    <w:rsid w:val="00D80EF7"/>
    <w:rsid w:val="00D9457D"/>
    <w:rsid w:val="00D95B55"/>
    <w:rsid w:val="00DA0BDA"/>
    <w:rsid w:val="00DD5F9B"/>
    <w:rsid w:val="00DD71FA"/>
    <w:rsid w:val="00DE109B"/>
    <w:rsid w:val="00DF2BFB"/>
    <w:rsid w:val="00E05C62"/>
    <w:rsid w:val="00E132C6"/>
    <w:rsid w:val="00E14CA1"/>
    <w:rsid w:val="00E2550E"/>
    <w:rsid w:val="00E33CD8"/>
    <w:rsid w:val="00E40F21"/>
    <w:rsid w:val="00E466D0"/>
    <w:rsid w:val="00E46B29"/>
    <w:rsid w:val="00E615B1"/>
    <w:rsid w:val="00E65E6E"/>
    <w:rsid w:val="00E72926"/>
    <w:rsid w:val="00E7344F"/>
    <w:rsid w:val="00E85B4E"/>
    <w:rsid w:val="00E9331D"/>
    <w:rsid w:val="00E95937"/>
    <w:rsid w:val="00EC76CB"/>
    <w:rsid w:val="00ED127F"/>
    <w:rsid w:val="00ED629C"/>
    <w:rsid w:val="00EE2FBB"/>
    <w:rsid w:val="00EE4C9E"/>
    <w:rsid w:val="00EF05D3"/>
    <w:rsid w:val="00EF29CB"/>
    <w:rsid w:val="00EF763B"/>
    <w:rsid w:val="00EF76FE"/>
    <w:rsid w:val="00F04A46"/>
    <w:rsid w:val="00F05345"/>
    <w:rsid w:val="00F10BDD"/>
    <w:rsid w:val="00F11332"/>
    <w:rsid w:val="00F157B3"/>
    <w:rsid w:val="00F16E95"/>
    <w:rsid w:val="00F218AC"/>
    <w:rsid w:val="00F3117A"/>
    <w:rsid w:val="00F326C2"/>
    <w:rsid w:val="00F34411"/>
    <w:rsid w:val="00F34942"/>
    <w:rsid w:val="00F4000E"/>
    <w:rsid w:val="00F66CEC"/>
    <w:rsid w:val="00F70B90"/>
    <w:rsid w:val="00F70E87"/>
    <w:rsid w:val="00F96556"/>
    <w:rsid w:val="00FA2B5A"/>
    <w:rsid w:val="00FA3513"/>
    <w:rsid w:val="00FB3B15"/>
    <w:rsid w:val="00FB6FC2"/>
    <w:rsid w:val="00FC5D5E"/>
    <w:rsid w:val="00FE2C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9186EA"/>
  <w15:docId w15:val="{A1507DD3-8544-4048-8372-82067F83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uiPriority w:val="99"/>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qFormat/>
    <w:rsid w:val="00E466D0"/>
    <w:pPr>
      <w:tabs>
        <w:tab w:val="left" w:pos="708"/>
      </w:tabs>
      <w:suppressAutoHyphens/>
      <w:spacing w:after="200" w:line="276" w:lineRule="atLeast"/>
    </w:pPr>
    <w:rPr>
      <w:rFonts w:eastAsia="Times New Roman" w:cs="Calibri"/>
      <w:color w:val="00000A"/>
      <w:sz w:val="22"/>
      <w:szCs w:val="22"/>
      <w:lang w:eastAsia="zh-CN"/>
    </w:rPr>
  </w:style>
  <w:style w:type="paragraph" w:customStyle="1" w:styleId="Estilopredeterminado">
    <w:name w:val="Estilo predeterminado"/>
    <w:uiPriority w:val="99"/>
    <w:rsid w:val="00D95B55"/>
    <w:pPr>
      <w:tabs>
        <w:tab w:val="left" w:pos="708"/>
      </w:tabs>
      <w:suppressAutoHyphens/>
      <w:spacing w:after="200" w:line="276" w:lineRule="atLeast"/>
    </w:pPr>
    <w:rPr>
      <w:rFonts w:eastAsia="Times New Roman" w:cs="Calibri"/>
      <w:color w:val="00000A"/>
      <w:sz w:val="22"/>
      <w:szCs w:val="22"/>
      <w:lang w:eastAsia="zh-CN"/>
    </w:rPr>
  </w:style>
  <w:style w:type="paragraph" w:styleId="Textonotapie">
    <w:name w:val="footnote text"/>
    <w:basedOn w:val="Normal"/>
    <w:link w:val="TextonotapieCar"/>
    <w:uiPriority w:val="99"/>
    <w:semiHidden/>
    <w:unhideWhenUsed/>
    <w:rsid w:val="00F10B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0BDD"/>
    <w:rPr>
      <w:lang w:eastAsia="en-US"/>
    </w:rPr>
  </w:style>
  <w:style w:type="character" w:styleId="Refdenotaalpie">
    <w:name w:val="footnote reference"/>
    <w:basedOn w:val="Fuentedeprrafopredeter"/>
    <w:uiPriority w:val="99"/>
    <w:semiHidden/>
    <w:unhideWhenUsed/>
    <w:rsid w:val="00F10BDD"/>
    <w:rPr>
      <w:vertAlign w:val="superscript"/>
    </w:rPr>
  </w:style>
  <w:style w:type="paragraph" w:styleId="Textonotaalfinal">
    <w:name w:val="endnote text"/>
    <w:basedOn w:val="Normal"/>
    <w:link w:val="TextonotaalfinalCar"/>
    <w:uiPriority w:val="99"/>
    <w:semiHidden/>
    <w:unhideWhenUsed/>
    <w:rsid w:val="00F10BD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0BDD"/>
    <w:rPr>
      <w:lang w:eastAsia="en-US"/>
    </w:rPr>
  </w:style>
  <w:style w:type="character" w:styleId="Refdenotaalfinal">
    <w:name w:val="endnote reference"/>
    <w:basedOn w:val="Fuentedeprrafopredeter"/>
    <w:uiPriority w:val="99"/>
    <w:semiHidden/>
    <w:unhideWhenUsed/>
    <w:rsid w:val="00F10BDD"/>
    <w:rPr>
      <w:vertAlign w:val="superscript"/>
    </w:rPr>
  </w:style>
  <w:style w:type="paragraph" w:styleId="Subttulo">
    <w:name w:val="Subtitle"/>
    <w:basedOn w:val="Normal"/>
    <w:next w:val="Normal"/>
    <w:link w:val="SubttuloCar"/>
    <w:qFormat/>
    <w:locked/>
    <w:rsid w:val="006D165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6D1655"/>
    <w:rPr>
      <w:rFonts w:asciiTheme="minorHAnsi" w:eastAsiaTheme="minorEastAsia" w:hAnsiTheme="minorHAnsi" w:cstheme="minorBidi"/>
      <w:color w:val="5A5A5A" w:themeColor="text1" w:themeTint="A5"/>
      <w:spacing w:val="15"/>
      <w:sz w:val="22"/>
      <w:szCs w:val="22"/>
      <w:lang w:eastAsia="en-US"/>
    </w:rPr>
  </w:style>
  <w:style w:type="character" w:customStyle="1" w:styleId="Mencinsinresolver1">
    <w:name w:val="Mención sin resolver1"/>
    <w:basedOn w:val="Fuentedeprrafopredeter"/>
    <w:uiPriority w:val="99"/>
    <w:semiHidden/>
    <w:unhideWhenUsed/>
    <w:rsid w:val="007A3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9302">
      <w:bodyDiv w:val="1"/>
      <w:marLeft w:val="0"/>
      <w:marRight w:val="0"/>
      <w:marTop w:val="0"/>
      <w:marBottom w:val="0"/>
      <w:divBdr>
        <w:top w:val="none" w:sz="0" w:space="0" w:color="auto"/>
        <w:left w:val="none" w:sz="0" w:space="0" w:color="auto"/>
        <w:bottom w:val="none" w:sz="0" w:space="0" w:color="auto"/>
        <w:right w:val="none" w:sz="0" w:space="0" w:color="auto"/>
      </w:divBdr>
      <w:divsChild>
        <w:div w:id="408384194">
          <w:marLeft w:val="0"/>
          <w:marRight w:val="0"/>
          <w:marTop w:val="0"/>
          <w:marBottom w:val="0"/>
          <w:divBdr>
            <w:top w:val="none" w:sz="0" w:space="0" w:color="auto"/>
            <w:left w:val="none" w:sz="0" w:space="0" w:color="auto"/>
            <w:bottom w:val="none" w:sz="0" w:space="0" w:color="auto"/>
            <w:right w:val="none" w:sz="0" w:space="0" w:color="auto"/>
          </w:divBdr>
          <w:divsChild>
            <w:div w:id="1844011492">
              <w:marLeft w:val="0"/>
              <w:marRight w:val="0"/>
              <w:marTop w:val="0"/>
              <w:marBottom w:val="0"/>
              <w:divBdr>
                <w:top w:val="none" w:sz="0" w:space="0" w:color="auto"/>
                <w:left w:val="none" w:sz="0" w:space="0" w:color="auto"/>
                <w:bottom w:val="none" w:sz="0" w:space="0" w:color="auto"/>
                <w:right w:val="none" w:sz="0" w:space="0" w:color="auto"/>
              </w:divBdr>
              <w:divsChild>
                <w:div w:id="575358146">
                  <w:marLeft w:val="0"/>
                  <w:marRight w:val="0"/>
                  <w:marTop w:val="0"/>
                  <w:marBottom w:val="0"/>
                  <w:divBdr>
                    <w:top w:val="none" w:sz="0" w:space="0" w:color="auto"/>
                    <w:left w:val="none" w:sz="0" w:space="0" w:color="auto"/>
                    <w:bottom w:val="none" w:sz="0" w:space="0" w:color="auto"/>
                    <w:right w:val="none" w:sz="0" w:space="0" w:color="auto"/>
                  </w:divBdr>
                  <w:divsChild>
                    <w:div w:id="927467148">
                      <w:marLeft w:val="0"/>
                      <w:marRight w:val="0"/>
                      <w:marTop w:val="0"/>
                      <w:marBottom w:val="0"/>
                      <w:divBdr>
                        <w:top w:val="none" w:sz="0" w:space="0" w:color="auto"/>
                        <w:left w:val="none" w:sz="0" w:space="0" w:color="auto"/>
                        <w:bottom w:val="none" w:sz="0" w:space="0" w:color="auto"/>
                        <w:right w:val="none" w:sz="0" w:space="0" w:color="auto"/>
                      </w:divBdr>
                      <w:divsChild>
                        <w:div w:id="1693871243">
                          <w:marLeft w:val="0"/>
                          <w:marRight w:val="0"/>
                          <w:marTop w:val="0"/>
                          <w:marBottom w:val="0"/>
                          <w:divBdr>
                            <w:top w:val="none" w:sz="0" w:space="0" w:color="auto"/>
                            <w:left w:val="none" w:sz="0" w:space="0" w:color="auto"/>
                            <w:bottom w:val="none" w:sz="0" w:space="0" w:color="auto"/>
                            <w:right w:val="none" w:sz="0" w:space="0" w:color="auto"/>
                          </w:divBdr>
                          <w:divsChild>
                            <w:div w:id="1345937164">
                              <w:marLeft w:val="0"/>
                              <w:marRight w:val="0"/>
                              <w:marTop w:val="0"/>
                              <w:marBottom w:val="0"/>
                              <w:divBdr>
                                <w:top w:val="none" w:sz="0" w:space="0" w:color="auto"/>
                                <w:left w:val="none" w:sz="0" w:space="0" w:color="auto"/>
                                <w:bottom w:val="none" w:sz="0" w:space="0" w:color="auto"/>
                                <w:right w:val="none" w:sz="0" w:space="0" w:color="auto"/>
                              </w:divBdr>
                              <w:divsChild>
                                <w:div w:id="616527876">
                                  <w:marLeft w:val="0"/>
                                  <w:marRight w:val="0"/>
                                  <w:marTop w:val="0"/>
                                  <w:marBottom w:val="0"/>
                                  <w:divBdr>
                                    <w:top w:val="none" w:sz="0" w:space="0" w:color="auto"/>
                                    <w:left w:val="none" w:sz="0" w:space="0" w:color="auto"/>
                                    <w:bottom w:val="none" w:sz="0" w:space="0" w:color="auto"/>
                                    <w:right w:val="none" w:sz="0" w:space="0" w:color="auto"/>
                                  </w:divBdr>
                                  <w:divsChild>
                                    <w:div w:id="1995179967">
                                      <w:marLeft w:val="0"/>
                                      <w:marRight w:val="0"/>
                                      <w:marTop w:val="0"/>
                                      <w:marBottom w:val="0"/>
                                      <w:divBdr>
                                        <w:top w:val="none" w:sz="0" w:space="0" w:color="auto"/>
                                        <w:left w:val="none" w:sz="0" w:space="0" w:color="auto"/>
                                        <w:bottom w:val="none" w:sz="0" w:space="0" w:color="auto"/>
                                        <w:right w:val="none" w:sz="0" w:space="0" w:color="auto"/>
                                      </w:divBdr>
                                      <w:divsChild>
                                        <w:div w:id="433936143">
                                          <w:marLeft w:val="0"/>
                                          <w:marRight w:val="0"/>
                                          <w:marTop w:val="0"/>
                                          <w:marBottom w:val="0"/>
                                          <w:divBdr>
                                            <w:top w:val="none" w:sz="0" w:space="0" w:color="auto"/>
                                            <w:left w:val="none" w:sz="0" w:space="0" w:color="auto"/>
                                            <w:bottom w:val="none" w:sz="0" w:space="0" w:color="auto"/>
                                            <w:right w:val="none" w:sz="0" w:space="0" w:color="auto"/>
                                          </w:divBdr>
                                          <w:divsChild>
                                            <w:div w:id="1966889534">
                                              <w:marLeft w:val="0"/>
                                              <w:marRight w:val="0"/>
                                              <w:marTop w:val="0"/>
                                              <w:marBottom w:val="0"/>
                                              <w:divBdr>
                                                <w:top w:val="none" w:sz="0" w:space="0" w:color="auto"/>
                                                <w:left w:val="none" w:sz="0" w:space="0" w:color="auto"/>
                                                <w:bottom w:val="none" w:sz="0" w:space="0" w:color="auto"/>
                                                <w:right w:val="none" w:sz="0" w:space="0" w:color="auto"/>
                                              </w:divBdr>
                                              <w:divsChild>
                                                <w:div w:id="450519887">
                                                  <w:marLeft w:val="0"/>
                                                  <w:marRight w:val="0"/>
                                                  <w:marTop w:val="0"/>
                                                  <w:marBottom w:val="0"/>
                                                  <w:divBdr>
                                                    <w:top w:val="none" w:sz="0" w:space="0" w:color="auto"/>
                                                    <w:left w:val="none" w:sz="0" w:space="0" w:color="auto"/>
                                                    <w:bottom w:val="none" w:sz="0" w:space="0" w:color="auto"/>
                                                    <w:right w:val="none" w:sz="0" w:space="0" w:color="auto"/>
                                                  </w:divBdr>
                                                  <w:divsChild>
                                                    <w:div w:id="1439985549">
                                                      <w:marLeft w:val="0"/>
                                                      <w:marRight w:val="0"/>
                                                      <w:marTop w:val="0"/>
                                                      <w:marBottom w:val="0"/>
                                                      <w:divBdr>
                                                        <w:top w:val="none" w:sz="0" w:space="0" w:color="auto"/>
                                                        <w:left w:val="none" w:sz="0" w:space="0" w:color="auto"/>
                                                        <w:bottom w:val="none" w:sz="0" w:space="0" w:color="auto"/>
                                                        <w:right w:val="none" w:sz="0" w:space="0" w:color="auto"/>
                                                      </w:divBdr>
                                                      <w:divsChild>
                                                        <w:div w:id="1309435183">
                                                          <w:marLeft w:val="0"/>
                                                          <w:marRight w:val="0"/>
                                                          <w:marTop w:val="0"/>
                                                          <w:marBottom w:val="0"/>
                                                          <w:divBdr>
                                                            <w:top w:val="none" w:sz="0" w:space="0" w:color="auto"/>
                                                            <w:left w:val="none" w:sz="0" w:space="0" w:color="auto"/>
                                                            <w:bottom w:val="none" w:sz="0" w:space="0" w:color="auto"/>
                                                            <w:right w:val="none" w:sz="0" w:space="0" w:color="auto"/>
                                                          </w:divBdr>
                                                          <w:divsChild>
                                                            <w:div w:id="1779639684">
                                                              <w:marLeft w:val="0"/>
                                                              <w:marRight w:val="0"/>
                                                              <w:marTop w:val="0"/>
                                                              <w:marBottom w:val="0"/>
                                                              <w:divBdr>
                                                                <w:top w:val="none" w:sz="0" w:space="0" w:color="auto"/>
                                                                <w:left w:val="none" w:sz="0" w:space="0" w:color="auto"/>
                                                                <w:bottom w:val="none" w:sz="0" w:space="0" w:color="auto"/>
                                                                <w:right w:val="none" w:sz="0" w:space="0" w:color="auto"/>
                                                              </w:divBdr>
                                                              <w:divsChild>
                                                                <w:div w:id="615409604">
                                                                  <w:marLeft w:val="0"/>
                                                                  <w:marRight w:val="0"/>
                                                                  <w:marTop w:val="0"/>
                                                                  <w:marBottom w:val="0"/>
                                                                  <w:divBdr>
                                                                    <w:top w:val="none" w:sz="0" w:space="0" w:color="auto"/>
                                                                    <w:left w:val="none" w:sz="0" w:space="0" w:color="auto"/>
                                                                    <w:bottom w:val="none" w:sz="0" w:space="0" w:color="auto"/>
                                                                    <w:right w:val="none" w:sz="0" w:space="0" w:color="auto"/>
                                                                  </w:divBdr>
                                                                  <w:divsChild>
                                                                    <w:div w:id="1168836289">
                                                                      <w:marLeft w:val="0"/>
                                                                      <w:marRight w:val="0"/>
                                                                      <w:marTop w:val="0"/>
                                                                      <w:marBottom w:val="0"/>
                                                                      <w:divBdr>
                                                                        <w:top w:val="none" w:sz="0" w:space="0" w:color="auto"/>
                                                                        <w:left w:val="none" w:sz="0" w:space="0" w:color="auto"/>
                                                                        <w:bottom w:val="none" w:sz="0" w:space="0" w:color="auto"/>
                                                                        <w:right w:val="none" w:sz="0" w:space="0" w:color="auto"/>
                                                                      </w:divBdr>
                                                                      <w:divsChild>
                                                                        <w:div w:id="1428306814">
                                                                          <w:marLeft w:val="0"/>
                                                                          <w:marRight w:val="0"/>
                                                                          <w:marTop w:val="0"/>
                                                                          <w:marBottom w:val="0"/>
                                                                          <w:divBdr>
                                                                            <w:top w:val="none" w:sz="0" w:space="0" w:color="auto"/>
                                                                            <w:left w:val="none" w:sz="0" w:space="0" w:color="auto"/>
                                                                            <w:bottom w:val="none" w:sz="0" w:space="0" w:color="auto"/>
                                                                            <w:right w:val="none" w:sz="0" w:space="0" w:color="auto"/>
                                                                          </w:divBdr>
                                                                          <w:divsChild>
                                                                            <w:div w:id="982926977">
                                                                              <w:marLeft w:val="0"/>
                                                                              <w:marRight w:val="0"/>
                                                                              <w:marTop w:val="0"/>
                                                                              <w:marBottom w:val="0"/>
                                                                              <w:divBdr>
                                                                                <w:top w:val="none" w:sz="0" w:space="0" w:color="auto"/>
                                                                                <w:left w:val="none" w:sz="0" w:space="0" w:color="auto"/>
                                                                                <w:bottom w:val="none" w:sz="0" w:space="0" w:color="auto"/>
                                                                                <w:right w:val="none" w:sz="0" w:space="0" w:color="auto"/>
                                                                              </w:divBdr>
                                                                              <w:divsChild>
                                                                                <w:div w:id="1411391021">
                                                                                  <w:marLeft w:val="0"/>
                                                                                  <w:marRight w:val="0"/>
                                                                                  <w:marTop w:val="0"/>
                                                                                  <w:marBottom w:val="0"/>
                                                                                  <w:divBdr>
                                                                                    <w:top w:val="none" w:sz="0" w:space="0" w:color="auto"/>
                                                                                    <w:left w:val="none" w:sz="0" w:space="0" w:color="auto"/>
                                                                                    <w:bottom w:val="none" w:sz="0" w:space="0" w:color="auto"/>
                                                                                    <w:right w:val="none" w:sz="0" w:space="0" w:color="auto"/>
                                                                                  </w:divBdr>
                                                                                  <w:divsChild>
                                                                                    <w:div w:id="869293421">
                                                                                      <w:marLeft w:val="0"/>
                                                                                      <w:marRight w:val="0"/>
                                                                                      <w:marTop w:val="0"/>
                                                                                      <w:marBottom w:val="0"/>
                                                                                      <w:divBdr>
                                                                                        <w:top w:val="none" w:sz="0" w:space="0" w:color="auto"/>
                                                                                        <w:left w:val="none" w:sz="0" w:space="0" w:color="auto"/>
                                                                                        <w:bottom w:val="none" w:sz="0" w:space="0" w:color="auto"/>
                                                                                        <w:right w:val="none" w:sz="0" w:space="0" w:color="auto"/>
                                                                                      </w:divBdr>
                                                                                      <w:divsChild>
                                                                                        <w:div w:id="846410390">
                                                                                          <w:marLeft w:val="0"/>
                                                                                          <w:marRight w:val="0"/>
                                                                                          <w:marTop w:val="0"/>
                                                                                          <w:marBottom w:val="0"/>
                                                                                          <w:divBdr>
                                                                                            <w:top w:val="none" w:sz="0" w:space="0" w:color="auto"/>
                                                                                            <w:left w:val="none" w:sz="0" w:space="0" w:color="auto"/>
                                                                                            <w:bottom w:val="none" w:sz="0" w:space="0" w:color="auto"/>
                                                                                            <w:right w:val="none" w:sz="0" w:space="0" w:color="auto"/>
                                                                                          </w:divBdr>
                                                                                          <w:divsChild>
                                                                                            <w:div w:id="1085958186">
                                                                                              <w:marLeft w:val="0"/>
                                                                                              <w:marRight w:val="120"/>
                                                                                              <w:marTop w:val="0"/>
                                                                                              <w:marBottom w:val="150"/>
                                                                                              <w:divBdr>
                                                                                                <w:top w:val="single" w:sz="2" w:space="0" w:color="EFEFEF"/>
                                                                                                <w:left w:val="single" w:sz="6" w:space="0" w:color="EFEFEF"/>
                                                                                                <w:bottom w:val="single" w:sz="6" w:space="0" w:color="E2E2E2"/>
                                                                                                <w:right w:val="single" w:sz="6" w:space="0" w:color="EFEFEF"/>
                                                                                              </w:divBdr>
                                                                                              <w:divsChild>
                                                                                                <w:div w:id="694158314">
                                                                                                  <w:marLeft w:val="0"/>
                                                                                                  <w:marRight w:val="0"/>
                                                                                                  <w:marTop w:val="0"/>
                                                                                                  <w:marBottom w:val="0"/>
                                                                                                  <w:divBdr>
                                                                                                    <w:top w:val="none" w:sz="0" w:space="0" w:color="auto"/>
                                                                                                    <w:left w:val="none" w:sz="0" w:space="0" w:color="auto"/>
                                                                                                    <w:bottom w:val="none" w:sz="0" w:space="0" w:color="auto"/>
                                                                                                    <w:right w:val="none" w:sz="0" w:space="0" w:color="auto"/>
                                                                                                  </w:divBdr>
                                                                                                  <w:divsChild>
                                                                                                    <w:div w:id="2024893175">
                                                                                                      <w:marLeft w:val="0"/>
                                                                                                      <w:marRight w:val="0"/>
                                                                                                      <w:marTop w:val="0"/>
                                                                                                      <w:marBottom w:val="0"/>
                                                                                                      <w:divBdr>
                                                                                                        <w:top w:val="none" w:sz="0" w:space="0" w:color="auto"/>
                                                                                                        <w:left w:val="none" w:sz="0" w:space="0" w:color="auto"/>
                                                                                                        <w:bottom w:val="none" w:sz="0" w:space="0" w:color="auto"/>
                                                                                                        <w:right w:val="none" w:sz="0" w:space="0" w:color="auto"/>
                                                                                                      </w:divBdr>
                                                                                                      <w:divsChild>
                                                                                                        <w:div w:id="878589262">
                                                                                                          <w:marLeft w:val="0"/>
                                                                                                          <w:marRight w:val="0"/>
                                                                                                          <w:marTop w:val="0"/>
                                                                                                          <w:marBottom w:val="0"/>
                                                                                                          <w:divBdr>
                                                                                                            <w:top w:val="none" w:sz="0" w:space="0" w:color="auto"/>
                                                                                                            <w:left w:val="none" w:sz="0" w:space="0" w:color="auto"/>
                                                                                                            <w:bottom w:val="none" w:sz="0" w:space="0" w:color="auto"/>
                                                                                                            <w:right w:val="none" w:sz="0" w:space="0" w:color="auto"/>
                                                                                                          </w:divBdr>
                                                                                                          <w:divsChild>
                                                                                                            <w:div w:id="347680322">
                                                                                                              <w:marLeft w:val="0"/>
                                                                                                              <w:marRight w:val="0"/>
                                                                                                              <w:marTop w:val="0"/>
                                                                                                              <w:marBottom w:val="0"/>
                                                                                                              <w:divBdr>
                                                                                                                <w:top w:val="none" w:sz="0" w:space="0" w:color="auto"/>
                                                                                                                <w:left w:val="none" w:sz="0" w:space="0" w:color="auto"/>
                                                                                                                <w:bottom w:val="none" w:sz="0" w:space="0" w:color="auto"/>
                                                                                                                <w:right w:val="none" w:sz="0" w:space="0" w:color="auto"/>
                                                                                                              </w:divBdr>
                                                                                                              <w:divsChild>
                                                                                                                <w:div w:id="18995155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394423101">
                                                                                                                      <w:marLeft w:val="225"/>
                                                                                                                      <w:marRight w:val="225"/>
                                                                                                                      <w:marTop w:val="75"/>
                                                                                                                      <w:marBottom w:val="75"/>
                                                                                                                      <w:divBdr>
                                                                                                                        <w:top w:val="none" w:sz="0" w:space="0" w:color="auto"/>
                                                                                                                        <w:left w:val="none" w:sz="0" w:space="0" w:color="auto"/>
                                                                                                                        <w:bottom w:val="none" w:sz="0" w:space="0" w:color="auto"/>
                                                                                                                        <w:right w:val="none" w:sz="0" w:space="0" w:color="auto"/>
                                                                                                                      </w:divBdr>
                                                                                                                      <w:divsChild>
                                                                                                                        <w:div w:id="951135928">
                                                                                                                          <w:marLeft w:val="0"/>
                                                                                                                          <w:marRight w:val="0"/>
                                                                                                                          <w:marTop w:val="0"/>
                                                                                                                          <w:marBottom w:val="0"/>
                                                                                                                          <w:divBdr>
                                                                                                                            <w:top w:val="single" w:sz="6" w:space="0" w:color="auto"/>
                                                                                                                            <w:left w:val="single" w:sz="6" w:space="0" w:color="auto"/>
                                                                                                                            <w:bottom w:val="single" w:sz="6" w:space="0" w:color="auto"/>
                                                                                                                            <w:right w:val="single" w:sz="6" w:space="0" w:color="auto"/>
                                                                                                                          </w:divBdr>
                                                                                                                          <w:divsChild>
                                                                                                                            <w:div w:id="1874801232">
                                                                                                                              <w:marLeft w:val="0"/>
                                                                                                                              <w:marRight w:val="0"/>
                                                                                                                              <w:marTop w:val="0"/>
                                                                                                                              <w:marBottom w:val="0"/>
                                                                                                                              <w:divBdr>
                                                                                                                                <w:top w:val="none" w:sz="0" w:space="0" w:color="auto"/>
                                                                                                                                <w:left w:val="none" w:sz="0" w:space="0" w:color="auto"/>
                                                                                                                                <w:bottom w:val="none" w:sz="0" w:space="0" w:color="auto"/>
                                                                                                                                <w:right w:val="none" w:sz="0" w:space="0" w:color="auto"/>
                                                                                                                              </w:divBdr>
                                                                                                                              <w:divsChild>
                                                                                                                                <w:div w:id="886066709">
                                                                                                                                  <w:marLeft w:val="0"/>
                                                                                                                                  <w:marRight w:val="0"/>
                                                                                                                                  <w:marTop w:val="0"/>
                                                                                                                                  <w:marBottom w:val="0"/>
                                                                                                                                  <w:divBdr>
                                                                                                                                    <w:top w:val="none" w:sz="0" w:space="0" w:color="auto"/>
                                                                                                                                    <w:left w:val="none" w:sz="0" w:space="0" w:color="auto"/>
                                                                                                                                    <w:bottom w:val="none" w:sz="0" w:space="0" w:color="auto"/>
                                                                                                                                    <w:right w:val="none" w:sz="0" w:space="0" w:color="auto"/>
                                                                                                                                  </w:divBdr>
                                                                                                                                </w:div>
                                                                                                                                <w:div w:id="244413192">
                                                                                                                                  <w:marLeft w:val="0"/>
                                                                                                                                  <w:marRight w:val="0"/>
                                                                                                                                  <w:marTop w:val="0"/>
                                                                                                                                  <w:marBottom w:val="0"/>
                                                                                                                                  <w:divBdr>
                                                                                                                                    <w:top w:val="none" w:sz="0" w:space="0" w:color="auto"/>
                                                                                                                                    <w:left w:val="none" w:sz="0" w:space="0" w:color="auto"/>
                                                                                                                                    <w:bottom w:val="none" w:sz="0" w:space="0" w:color="auto"/>
                                                                                                                                    <w:right w:val="none" w:sz="0" w:space="0" w:color="auto"/>
                                                                                                                                  </w:divBdr>
                                                                                                                                </w:div>
                                                                                                                                <w:div w:id="384722567">
                                                                                                                                  <w:marLeft w:val="0"/>
                                                                                                                                  <w:marRight w:val="0"/>
                                                                                                                                  <w:marTop w:val="0"/>
                                                                                                                                  <w:marBottom w:val="0"/>
                                                                                                                                  <w:divBdr>
                                                                                                                                    <w:top w:val="none" w:sz="0" w:space="0" w:color="auto"/>
                                                                                                                                    <w:left w:val="none" w:sz="0" w:space="0" w:color="auto"/>
                                                                                                                                    <w:bottom w:val="none" w:sz="0" w:space="0" w:color="auto"/>
                                                                                                                                    <w:right w:val="none" w:sz="0" w:space="0" w:color="auto"/>
                                                                                                                                  </w:divBdr>
                                                                                                                                </w:div>
                                                                                                                                <w:div w:id="17020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910910">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oluciones@cajaviviendapopular.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6AE35A6BE3FF42B9B4A994609E34AF" ma:contentTypeVersion="3" ma:contentTypeDescription="Crear nuevo documento." ma:contentTypeScope="" ma:versionID="b86bb072898634c74c6fff134b5cbe27">
  <xsd:schema xmlns:xsd="http://www.w3.org/2001/XMLSchema" xmlns:xs="http://www.w3.org/2001/XMLSchema" xmlns:p="http://schemas.microsoft.com/office/2006/metadata/properties" xmlns:ns3="84ee36f7-f4b5-4eba-bf1d-4d37a7ed5349" targetNamespace="http://schemas.microsoft.com/office/2006/metadata/properties" ma:root="true" ma:fieldsID="ced4d993a9a8c4f6ad0c74b8f04d256a" ns3:_="">
    <xsd:import namespace="84ee36f7-f4b5-4eba-bf1d-4d37a7ed534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e36f7-f4b5-4eba-bf1d-4d37a7ed5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0949-4504-4CBA-A12F-6964B6BE4C56}">
  <ds:schemaRefs>
    <ds:schemaRef ds:uri="http://schemas.microsoft.com/sharepoint/v3/contenttype/forms"/>
  </ds:schemaRefs>
</ds:datastoreItem>
</file>

<file path=customXml/itemProps2.xml><?xml version="1.0" encoding="utf-8"?>
<ds:datastoreItem xmlns:ds="http://schemas.openxmlformats.org/officeDocument/2006/customXml" ds:itemID="{272B068D-D690-458E-91DD-3F278912F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e36f7-f4b5-4eba-bf1d-4d37a7ed5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CE9D9-5357-4341-93E7-FD6797BE84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036605-3E4C-4D0C-989F-908B2982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1385</Words>
  <Characters>7620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dv5</dc:creator>
  <cp:lastModifiedBy>Luis Alirio Castro Pena</cp:lastModifiedBy>
  <cp:revision>2</cp:revision>
  <cp:lastPrinted>2024-11-08T19:44:00Z</cp:lastPrinted>
  <dcterms:created xsi:type="dcterms:W3CDTF">2025-03-04T17:28:00Z</dcterms:created>
  <dcterms:modified xsi:type="dcterms:W3CDTF">2025-03-04T17:28:00Z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-1550668026</vt:i4>
  </property>
  <property fmtid="{D5CDD505-2E9C-101B-9397-08002B2CF9AE}" pid="3" name="ContentTypeId">
    <vt:lpwstr>0x010100B96AE35A6BE3FF42B9B4A994609E34AF</vt:lpwstr>
  </property>
</Properties>
</file>