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3B689" w14:textId="77777777" w:rsidR="006F2F06" w:rsidRPr="00F2020A" w:rsidRDefault="006F2F06" w:rsidP="006F2F06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2020A">
        <w:rPr>
          <w:rFonts w:ascii="Arial" w:hAnsi="Arial" w:cs="Arial"/>
          <w:b/>
          <w:sz w:val="28"/>
          <w:szCs w:val="28"/>
          <w:lang w:val="es-ES"/>
        </w:rPr>
        <w:t xml:space="preserve">INFORME DE </w:t>
      </w:r>
      <w:r w:rsidRPr="00F2020A">
        <w:rPr>
          <w:rFonts w:ascii="Arial" w:hAnsi="Arial" w:cs="Arial"/>
          <w:b/>
          <w:sz w:val="28"/>
          <w:szCs w:val="28"/>
        </w:rPr>
        <w:t xml:space="preserve">ASISTENCIA POR CANALES DE ATENCIÓN </w:t>
      </w:r>
    </w:p>
    <w:p w14:paraId="1C1E9856" w14:textId="77777777" w:rsidR="006F2F06" w:rsidRPr="00F2020A" w:rsidRDefault="006F2F06" w:rsidP="006F2F06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 w:rsidRPr="00F2020A">
        <w:rPr>
          <w:rFonts w:ascii="Arial" w:hAnsi="Arial" w:cs="Arial"/>
          <w:b/>
          <w:sz w:val="24"/>
          <w:szCs w:val="24"/>
        </w:rPr>
        <w:t>CAJA DE LA VIVIENDA POPULAR</w:t>
      </w:r>
    </w:p>
    <w:p w14:paraId="5CC6EAAA" w14:textId="77777777" w:rsidR="006F2F06" w:rsidRDefault="006F2F06" w:rsidP="006F2F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020A">
        <w:rPr>
          <w:rFonts w:ascii="Arial" w:hAnsi="Arial" w:cs="Arial"/>
          <w:b/>
          <w:sz w:val="24"/>
          <w:szCs w:val="24"/>
        </w:rPr>
        <w:t>SERVICIO AL CIUDADANO</w:t>
      </w:r>
    </w:p>
    <w:p w14:paraId="56256A47" w14:textId="77777777" w:rsidR="00FC4E85" w:rsidRPr="00F2020A" w:rsidRDefault="00FC4E85" w:rsidP="006F2F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MES DE </w:t>
      </w:r>
      <w:r w:rsidR="00DC6CC6">
        <w:rPr>
          <w:rFonts w:ascii="Arial" w:hAnsi="Arial" w:cs="Arial"/>
          <w:b/>
          <w:sz w:val="24"/>
          <w:szCs w:val="24"/>
        </w:rPr>
        <w:t xml:space="preserve">SEPTIEMBRE </w:t>
      </w:r>
      <w:r>
        <w:rPr>
          <w:rFonts w:ascii="Arial" w:hAnsi="Arial" w:cs="Arial"/>
          <w:b/>
          <w:sz w:val="24"/>
          <w:szCs w:val="24"/>
        </w:rPr>
        <w:t>DE 2019</w:t>
      </w:r>
    </w:p>
    <w:p w14:paraId="746AFC8F" w14:textId="77777777" w:rsidR="006F2F06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14:paraId="4767E0D3" w14:textId="77777777" w:rsidR="00FC4E85" w:rsidRDefault="00FC4E85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14:paraId="7728E7A0" w14:textId="77777777" w:rsidR="00FC4E85" w:rsidRPr="001F77F8" w:rsidRDefault="00FC4E85" w:rsidP="00FC4E85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lang w:val="es-ES"/>
        </w:rPr>
      </w:pPr>
      <w:r w:rsidRPr="00EC26D5">
        <w:rPr>
          <w:rFonts w:ascii="Arial" w:hAnsi="Arial" w:cs="Arial"/>
          <w:lang w:val="es-ES"/>
        </w:rPr>
        <w:t>Fecha</w:t>
      </w:r>
      <w:r w:rsidRPr="009672E0">
        <w:rPr>
          <w:rFonts w:ascii="Arial" w:hAnsi="Arial" w:cs="Arial"/>
          <w:lang w:val="es-ES"/>
        </w:rPr>
        <w:t>:</w:t>
      </w:r>
      <w:r w:rsidRPr="009672E0">
        <w:rPr>
          <w:rFonts w:ascii="Arial" w:hAnsi="Arial" w:cs="Arial"/>
          <w:color w:val="808080"/>
          <w:lang w:val="es-ES"/>
        </w:rPr>
        <w:t xml:space="preserve"> </w:t>
      </w:r>
      <w:r w:rsidRPr="001F77F8">
        <w:rPr>
          <w:rFonts w:ascii="Arial" w:hAnsi="Arial" w:cs="Arial"/>
          <w:color w:val="0D0D0D" w:themeColor="text1" w:themeTint="F2"/>
          <w:lang w:val="es-ES"/>
        </w:rPr>
        <w:t>(</w:t>
      </w:r>
      <w:r w:rsidR="00DC6CC6">
        <w:rPr>
          <w:rFonts w:ascii="Arial" w:hAnsi="Arial" w:cs="Arial"/>
          <w:color w:val="0D0D0D" w:themeColor="text1" w:themeTint="F2"/>
          <w:lang w:val="es-ES"/>
        </w:rPr>
        <w:t>7</w:t>
      </w:r>
      <w:r w:rsidRPr="001F77F8">
        <w:rPr>
          <w:rFonts w:ascii="Arial" w:hAnsi="Arial" w:cs="Arial"/>
          <w:color w:val="0D0D0D" w:themeColor="text1" w:themeTint="F2"/>
          <w:lang w:val="es-ES"/>
        </w:rPr>
        <w:t xml:space="preserve"> de </w:t>
      </w:r>
      <w:r w:rsidR="00DC6CC6">
        <w:rPr>
          <w:rFonts w:ascii="Arial" w:hAnsi="Arial" w:cs="Arial"/>
          <w:color w:val="0D0D0D" w:themeColor="text1" w:themeTint="F2"/>
          <w:lang w:val="es-ES"/>
        </w:rPr>
        <w:t>octubre</w:t>
      </w:r>
      <w:r w:rsidRPr="001F77F8">
        <w:rPr>
          <w:rFonts w:ascii="Arial" w:hAnsi="Arial" w:cs="Arial"/>
          <w:color w:val="0D0D0D" w:themeColor="text1" w:themeTint="F2"/>
          <w:lang w:val="es-ES"/>
        </w:rPr>
        <w:t xml:space="preserve"> del 2019)</w:t>
      </w:r>
    </w:p>
    <w:p w14:paraId="774AD152" w14:textId="77777777" w:rsidR="00FC4E85" w:rsidRDefault="00FC4E85" w:rsidP="00FC4E85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</w:p>
    <w:p w14:paraId="0C4D1BB9" w14:textId="77777777" w:rsidR="00FC4E85" w:rsidRDefault="00FC4E85" w:rsidP="00FC4E85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</w:p>
    <w:p w14:paraId="052D2F19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  <w:bookmarkStart w:id="1" w:name="_Hlk513708617"/>
      <w:r>
        <w:rPr>
          <w:rFonts w:ascii="Arial" w:hAnsi="Arial" w:cs="Arial"/>
        </w:rPr>
        <w:t xml:space="preserve">El proceso de </w:t>
      </w:r>
      <w:r w:rsidRPr="00EC26D5">
        <w:rPr>
          <w:rFonts w:ascii="Arial" w:hAnsi="Arial" w:cs="Arial"/>
        </w:rPr>
        <w:t>Servicio al Ciudadano de la Caja de la Vivienda Popular informa</w:t>
      </w:r>
      <w:r>
        <w:rPr>
          <w:rFonts w:ascii="Arial" w:hAnsi="Arial" w:cs="Arial"/>
        </w:rPr>
        <w:t xml:space="preserve"> sobre</w:t>
      </w:r>
      <w:r w:rsidRPr="00EC2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trazabilidad realizada a</w:t>
      </w:r>
      <w:r w:rsidRPr="00EC26D5">
        <w:rPr>
          <w:rFonts w:ascii="Arial" w:hAnsi="Arial" w:cs="Arial"/>
        </w:rPr>
        <w:t xml:space="preserve"> los ciudadanos que </w:t>
      </w:r>
      <w:r>
        <w:rPr>
          <w:rFonts w:ascii="Arial" w:hAnsi="Arial" w:cs="Arial"/>
        </w:rPr>
        <w:t>solicitaron a la entidad información</w:t>
      </w:r>
      <w:r w:rsidRPr="00EC2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sobre sus </w:t>
      </w:r>
      <w:r w:rsidRPr="00EC26D5">
        <w:rPr>
          <w:rFonts w:ascii="Arial" w:hAnsi="Arial" w:cs="Arial"/>
        </w:rPr>
        <w:t>servicios</w:t>
      </w:r>
      <w:r>
        <w:rPr>
          <w:rFonts w:ascii="Arial" w:hAnsi="Arial" w:cs="Arial"/>
        </w:rPr>
        <w:t xml:space="preserve"> o que asistieron para realizar algún trámite </w:t>
      </w:r>
      <w:r w:rsidRPr="00EC26D5">
        <w:rPr>
          <w:rFonts w:ascii="Arial" w:hAnsi="Arial" w:cs="Arial"/>
        </w:rPr>
        <w:t>que brinda la entidad</w:t>
      </w:r>
      <w:r>
        <w:rPr>
          <w:rFonts w:ascii="Arial" w:hAnsi="Arial" w:cs="Arial"/>
        </w:rPr>
        <w:t xml:space="preserve"> </w:t>
      </w:r>
      <w:r w:rsidRPr="00EC26D5">
        <w:rPr>
          <w:rFonts w:ascii="Arial" w:hAnsi="Arial" w:cs="Arial"/>
        </w:rPr>
        <w:t xml:space="preserve">durante el mes de </w:t>
      </w:r>
      <w:r w:rsidR="00DC6CC6">
        <w:rPr>
          <w:rFonts w:ascii="Arial" w:hAnsi="Arial" w:cs="Arial"/>
        </w:rPr>
        <w:t>septiembre</w:t>
      </w:r>
      <w:r>
        <w:rPr>
          <w:rFonts w:ascii="Arial" w:hAnsi="Arial" w:cs="Arial"/>
        </w:rPr>
        <w:t xml:space="preserve"> </w:t>
      </w:r>
      <w:r w:rsidRPr="00AC57C0">
        <w:rPr>
          <w:rFonts w:ascii="Arial" w:hAnsi="Arial" w:cs="Arial"/>
        </w:rPr>
        <w:t>de 201</w:t>
      </w:r>
      <w:r>
        <w:rPr>
          <w:rFonts w:ascii="Arial" w:hAnsi="Arial" w:cs="Arial"/>
        </w:rPr>
        <w:t>9</w:t>
      </w:r>
      <w:r w:rsidRPr="00AC57C0">
        <w:rPr>
          <w:rFonts w:ascii="Arial" w:hAnsi="Arial" w:cs="Arial"/>
        </w:rPr>
        <w:t>.</w:t>
      </w:r>
    </w:p>
    <w:bookmarkEnd w:id="1"/>
    <w:p w14:paraId="31748FF9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p w14:paraId="5FC41EA5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información aquí plasmada para canal presencial fue obtenida de la herramienta </w:t>
      </w:r>
      <w:r w:rsidRPr="007C7BCF">
        <w:rPr>
          <w:rFonts w:ascii="Arial" w:hAnsi="Arial" w:cs="Arial"/>
        </w:rPr>
        <w:t>SIMA,</w:t>
      </w:r>
      <w:r>
        <w:rPr>
          <w:rFonts w:ascii="Arial" w:hAnsi="Arial" w:cs="Arial"/>
        </w:rPr>
        <w:t xml:space="preserve"> la cual</w:t>
      </w:r>
      <w:r w:rsidRPr="007C7BCF">
        <w:rPr>
          <w:rFonts w:ascii="Arial" w:hAnsi="Arial" w:cs="Arial"/>
        </w:rPr>
        <w:t xml:space="preserve"> permite registrar </w:t>
      </w:r>
      <w:r>
        <w:rPr>
          <w:rFonts w:ascii="Arial" w:hAnsi="Arial" w:cs="Arial"/>
        </w:rPr>
        <w:t xml:space="preserve">y caracterizar </w:t>
      </w:r>
      <w:r w:rsidRPr="007C7BCF">
        <w:rPr>
          <w:rFonts w:ascii="Arial" w:hAnsi="Arial" w:cs="Arial"/>
        </w:rPr>
        <w:t>a cada uno de los ciudadanos que ingresan a la Caja de la Vivienda Popular</w:t>
      </w:r>
      <w:r>
        <w:rPr>
          <w:rFonts w:ascii="Arial" w:hAnsi="Arial" w:cs="Arial"/>
        </w:rPr>
        <w:t xml:space="preserve">. En la herramienta se digitan los </w:t>
      </w:r>
      <w:r w:rsidRPr="007C7BCF">
        <w:rPr>
          <w:rFonts w:ascii="Arial" w:hAnsi="Arial" w:cs="Arial"/>
        </w:rPr>
        <w:t>datos personales</w:t>
      </w:r>
      <w:r>
        <w:rPr>
          <w:rFonts w:ascii="Arial" w:hAnsi="Arial" w:cs="Arial"/>
        </w:rPr>
        <w:t xml:space="preserve"> del solicitante</w:t>
      </w:r>
      <w:r w:rsidRPr="007C7BCF">
        <w:rPr>
          <w:rFonts w:ascii="Arial" w:hAnsi="Arial" w:cs="Arial"/>
        </w:rPr>
        <w:t xml:space="preserve"> como </w:t>
      </w:r>
      <w:r>
        <w:rPr>
          <w:rFonts w:ascii="Arial" w:hAnsi="Arial" w:cs="Arial"/>
        </w:rPr>
        <w:t>e</w:t>
      </w:r>
      <w:r w:rsidRPr="007C7BC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(los) </w:t>
      </w:r>
      <w:r w:rsidRPr="007C7BCF">
        <w:rPr>
          <w:rFonts w:ascii="Arial" w:hAnsi="Arial" w:cs="Arial"/>
        </w:rPr>
        <w:t>nombre</w:t>
      </w:r>
      <w:r>
        <w:rPr>
          <w:rFonts w:ascii="Arial" w:hAnsi="Arial" w:cs="Arial"/>
        </w:rPr>
        <w:t>(</w:t>
      </w:r>
      <w:r w:rsidRPr="007C7BCF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7C7BCF">
        <w:rPr>
          <w:rFonts w:ascii="Arial" w:hAnsi="Arial" w:cs="Arial"/>
        </w:rPr>
        <w:t xml:space="preserve"> y apellido</w:t>
      </w:r>
      <w:r>
        <w:rPr>
          <w:rFonts w:ascii="Arial" w:hAnsi="Arial" w:cs="Arial"/>
        </w:rPr>
        <w:t>(</w:t>
      </w:r>
      <w:r w:rsidRPr="007C7BCF">
        <w:rPr>
          <w:rFonts w:ascii="Arial" w:hAnsi="Arial" w:cs="Arial"/>
        </w:rPr>
        <w:t>s</w:t>
      </w:r>
      <w:r>
        <w:rPr>
          <w:rFonts w:ascii="Arial" w:hAnsi="Arial" w:cs="Arial"/>
        </w:rPr>
        <w:t>), tipo de identidad</w:t>
      </w:r>
      <w:r w:rsidRPr="007C7BC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número de identidad, </w:t>
      </w:r>
      <w:r w:rsidRPr="007C7BCF">
        <w:rPr>
          <w:rFonts w:ascii="Arial" w:hAnsi="Arial" w:cs="Arial"/>
        </w:rPr>
        <w:t>dirección</w:t>
      </w:r>
      <w:r>
        <w:rPr>
          <w:rFonts w:ascii="Arial" w:hAnsi="Arial" w:cs="Arial"/>
        </w:rPr>
        <w:t xml:space="preserve"> de residencia</w:t>
      </w:r>
      <w:r w:rsidRPr="007C7BCF">
        <w:rPr>
          <w:rFonts w:ascii="Arial" w:hAnsi="Arial" w:cs="Arial"/>
        </w:rPr>
        <w:t>, teléfono</w:t>
      </w:r>
      <w:r>
        <w:rPr>
          <w:rFonts w:ascii="Arial" w:hAnsi="Arial" w:cs="Arial"/>
        </w:rPr>
        <w:t xml:space="preserve"> de contacto</w:t>
      </w:r>
      <w:r w:rsidRPr="007C7BCF">
        <w:rPr>
          <w:rFonts w:ascii="Arial" w:hAnsi="Arial" w:cs="Arial"/>
        </w:rPr>
        <w:t>, género</w:t>
      </w:r>
      <w:r>
        <w:rPr>
          <w:rFonts w:ascii="Arial" w:hAnsi="Arial" w:cs="Arial"/>
        </w:rPr>
        <w:t>, entre otros datos. Los anteriores datos</w:t>
      </w:r>
      <w:r w:rsidRPr="007C7BCF">
        <w:rPr>
          <w:rFonts w:ascii="Arial" w:hAnsi="Arial" w:cs="Arial"/>
        </w:rPr>
        <w:t xml:space="preserve"> facilita</w:t>
      </w:r>
      <w:r>
        <w:rPr>
          <w:rFonts w:ascii="Arial" w:hAnsi="Arial" w:cs="Arial"/>
        </w:rPr>
        <w:t>n</w:t>
      </w:r>
      <w:r w:rsidRPr="007C7BCF">
        <w:rPr>
          <w:rFonts w:ascii="Arial" w:hAnsi="Arial" w:cs="Arial"/>
        </w:rPr>
        <w:t xml:space="preserve"> a cada una de las áreas </w:t>
      </w:r>
      <w:r>
        <w:rPr>
          <w:rFonts w:ascii="Arial" w:hAnsi="Arial" w:cs="Arial"/>
        </w:rPr>
        <w:t xml:space="preserve">de la entidad individualizar </w:t>
      </w:r>
      <w:r w:rsidRPr="007C7BCF">
        <w:rPr>
          <w:rFonts w:ascii="Arial" w:hAnsi="Arial" w:cs="Arial"/>
        </w:rPr>
        <w:t>a cada ciudadano</w:t>
      </w:r>
      <w:r>
        <w:rPr>
          <w:rFonts w:ascii="Arial" w:hAnsi="Arial" w:cs="Arial"/>
        </w:rPr>
        <w:t xml:space="preserve"> y así poder registrar</w:t>
      </w:r>
      <w:r w:rsidRPr="007C7B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 </w:t>
      </w:r>
      <w:r w:rsidRPr="007C7BCF">
        <w:rPr>
          <w:rFonts w:ascii="Arial" w:hAnsi="Arial" w:cs="Arial"/>
        </w:rPr>
        <w:t>solicitud, actualiza</w:t>
      </w:r>
      <w:r>
        <w:rPr>
          <w:rFonts w:ascii="Arial" w:hAnsi="Arial" w:cs="Arial"/>
        </w:rPr>
        <w:t xml:space="preserve">r sus </w:t>
      </w:r>
      <w:r w:rsidRPr="007C7BCF">
        <w:rPr>
          <w:rFonts w:ascii="Arial" w:hAnsi="Arial" w:cs="Arial"/>
        </w:rPr>
        <w:t xml:space="preserve">datos </w:t>
      </w:r>
      <w:r>
        <w:rPr>
          <w:rFonts w:ascii="Arial" w:hAnsi="Arial" w:cs="Arial"/>
        </w:rPr>
        <w:t xml:space="preserve">o </w:t>
      </w:r>
      <w:r w:rsidRPr="007C7BCF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uscar el estado de su </w:t>
      </w:r>
      <w:r w:rsidRPr="007C7BCF">
        <w:rPr>
          <w:rFonts w:ascii="Arial" w:hAnsi="Arial" w:cs="Arial"/>
        </w:rPr>
        <w:t>proceso</w:t>
      </w:r>
      <w:r>
        <w:rPr>
          <w:rFonts w:ascii="Arial" w:hAnsi="Arial" w:cs="Arial"/>
        </w:rPr>
        <w:t>.</w:t>
      </w:r>
    </w:p>
    <w:p w14:paraId="01D87BF5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p w14:paraId="69181B93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iguales condiciones se realiza el registro para el canal telefónico a través de la herramienta SIMA al momento de recibir las llamadas por la línea del conmutador (0) o las extensiones 160, 161, 163, 164 y 165; las cuales son atendidas o trasladadas dependiendo del tema que indique el ciudadano.</w:t>
      </w:r>
    </w:p>
    <w:p w14:paraId="5CE6D1BC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E090964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BBA10FA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C2A23E2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F5F81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DEFBFDD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1A05F9E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812489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638A70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C2CF64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A9B0DF6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9738005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F02F7A4" w14:textId="77777777" w:rsidR="00DD6464" w:rsidRDefault="00DD6464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FE30E6B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4ACEF6B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969BFD3" w14:textId="77777777" w:rsidR="00FC4E85" w:rsidRPr="001439DD" w:rsidRDefault="00FC4E85" w:rsidP="00FC4E8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439DD">
        <w:rPr>
          <w:rFonts w:ascii="Arial" w:hAnsi="Arial" w:cs="Arial"/>
          <w:b/>
          <w:sz w:val="24"/>
          <w:szCs w:val="24"/>
          <w:u w:val="single"/>
        </w:rPr>
        <w:lastRenderedPageBreak/>
        <w:t>CANAL PRESENCIAL</w:t>
      </w:r>
    </w:p>
    <w:p w14:paraId="48F0E754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p w14:paraId="5CE76E03" w14:textId="0D817F70"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el periodo comprendido entre el 1 y el </w:t>
      </w:r>
      <w:r w:rsidR="00DC6CC6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de </w:t>
      </w:r>
      <w:r w:rsidR="00DC6CC6">
        <w:rPr>
          <w:rFonts w:ascii="Arial" w:hAnsi="Arial" w:cs="Arial"/>
        </w:rPr>
        <w:t>septiembre</w:t>
      </w:r>
      <w:r>
        <w:rPr>
          <w:rFonts w:ascii="Arial" w:hAnsi="Arial" w:cs="Arial"/>
        </w:rPr>
        <w:t>, se prestó la orientación y el direccionamiento a 3.</w:t>
      </w:r>
      <w:r w:rsidR="00D207EB">
        <w:rPr>
          <w:rFonts w:ascii="Arial" w:hAnsi="Arial" w:cs="Arial"/>
        </w:rPr>
        <w:t>194</w:t>
      </w:r>
      <w:r>
        <w:rPr>
          <w:rFonts w:ascii="Arial" w:hAnsi="Arial" w:cs="Arial"/>
        </w:rPr>
        <w:t xml:space="preserve"> </w:t>
      </w:r>
      <w:r w:rsidRPr="00EC26D5">
        <w:rPr>
          <w:rFonts w:ascii="Arial" w:hAnsi="Arial" w:cs="Arial"/>
        </w:rPr>
        <w:t>ciudadanos</w:t>
      </w:r>
      <w:r>
        <w:rPr>
          <w:rFonts w:ascii="Arial" w:hAnsi="Arial" w:cs="Arial"/>
        </w:rPr>
        <w:t>, c</w:t>
      </w:r>
      <w:r w:rsidRPr="00EC26D5">
        <w:rPr>
          <w:rFonts w:ascii="Arial" w:hAnsi="Arial" w:cs="Arial"/>
        </w:rPr>
        <w:t xml:space="preserve">on un promedio diario de </w:t>
      </w:r>
      <w:r>
        <w:rPr>
          <w:rFonts w:ascii="Arial" w:hAnsi="Arial" w:cs="Arial"/>
        </w:rPr>
        <w:t xml:space="preserve">atención a </w:t>
      </w:r>
      <w:r w:rsidR="00D207EB">
        <w:rPr>
          <w:rFonts w:ascii="Arial" w:hAnsi="Arial" w:cs="Arial"/>
        </w:rPr>
        <w:t>152</w:t>
      </w:r>
      <w:r>
        <w:rPr>
          <w:rFonts w:ascii="Arial" w:hAnsi="Arial" w:cs="Arial"/>
        </w:rPr>
        <w:t xml:space="preserve"> ciudadanos. </w:t>
      </w:r>
    </w:p>
    <w:p w14:paraId="35744387" w14:textId="7D23738F" w:rsidR="00FC4E85" w:rsidRDefault="00FC4E85" w:rsidP="00FC4E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84F7519" w14:textId="67150212" w:rsidR="00FC4E85" w:rsidRDefault="00123367" w:rsidP="00FC4E8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76EFBF54" wp14:editId="1B075678">
            <wp:extent cx="5974080" cy="4333875"/>
            <wp:effectExtent l="0" t="0" r="7620" b="95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B4C1EDE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>Cantidad de ciudadanos</w:t>
      </w:r>
      <w:r>
        <w:rPr>
          <w:rFonts w:ascii="Arial" w:hAnsi="Arial" w:cs="Arial"/>
          <w:sz w:val="16"/>
          <w:szCs w:val="16"/>
        </w:rPr>
        <w:t xml:space="preserve"> </w:t>
      </w:r>
      <w:r w:rsidRPr="00050FD7">
        <w:rPr>
          <w:rFonts w:ascii="Arial" w:hAnsi="Arial" w:cs="Arial"/>
          <w:sz w:val="16"/>
          <w:szCs w:val="16"/>
        </w:rPr>
        <w:t xml:space="preserve">atendidos por </w:t>
      </w:r>
      <w:r>
        <w:rPr>
          <w:rFonts w:ascii="Arial" w:hAnsi="Arial" w:cs="Arial"/>
          <w:sz w:val="16"/>
          <w:szCs w:val="16"/>
        </w:rPr>
        <w:t>dependencia</w:t>
      </w:r>
    </w:p>
    <w:p w14:paraId="2248FBDF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14:paraId="64F36FF4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p w14:paraId="6A1ACA97" w14:textId="77777777" w:rsidR="00FC4E85" w:rsidRPr="001079BC" w:rsidRDefault="00FC4E85" w:rsidP="00FC4E85">
      <w:pPr>
        <w:spacing w:after="0" w:line="240" w:lineRule="auto"/>
        <w:jc w:val="both"/>
        <w:rPr>
          <w:rFonts w:ascii="Arial" w:hAnsi="Arial" w:cs="Arial"/>
        </w:rPr>
      </w:pPr>
      <w:r w:rsidRPr="00495294">
        <w:rPr>
          <w:rFonts w:ascii="Arial" w:hAnsi="Arial" w:cs="Arial"/>
        </w:rPr>
        <w:t xml:space="preserve">La asistencia durante el mes de </w:t>
      </w:r>
      <w:r w:rsidR="00D207EB">
        <w:rPr>
          <w:rFonts w:ascii="Arial" w:hAnsi="Arial" w:cs="Arial"/>
        </w:rPr>
        <w:t>septiembre</w:t>
      </w:r>
      <w:r w:rsidRPr="00495294">
        <w:rPr>
          <w:rFonts w:ascii="Arial" w:hAnsi="Arial" w:cs="Arial"/>
        </w:rPr>
        <w:t xml:space="preserve"> a la Caja de la Vivienda Popular se distribuyó así: </w:t>
      </w:r>
      <w:r w:rsidR="00123367">
        <w:rPr>
          <w:rFonts w:ascii="Arial" w:hAnsi="Arial" w:cs="Arial"/>
        </w:rPr>
        <w:t>40</w:t>
      </w:r>
      <w:r w:rsidR="00123367" w:rsidRPr="00495294">
        <w:rPr>
          <w:rFonts w:ascii="Arial" w:hAnsi="Arial" w:cs="Arial"/>
        </w:rPr>
        <w:t>,</w:t>
      </w:r>
      <w:r w:rsidR="00123367">
        <w:rPr>
          <w:rFonts w:ascii="Arial" w:hAnsi="Arial" w:cs="Arial"/>
        </w:rPr>
        <w:t>11</w:t>
      </w:r>
      <w:r w:rsidRPr="00495294">
        <w:rPr>
          <w:rFonts w:ascii="Arial" w:hAnsi="Arial" w:cs="Arial"/>
        </w:rPr>
        <w:t xml:space="preserve">% para la Dirección de Reasentamientos Humanos, </w:t>
      </w:r>
      <w:r w:rsidR="00123367">
        <w:rPr>
          <w:rFonts w:ascii="Arial" w:hAnsi="Arial" w:cs="Arial"/>
        </w:rPr>
        <w:t>32</w:t>
      </w:r>
      <w:r w:rsidRPr="00495294">
        <w:rPr>
          <w:rFonts w:ascii="Arial" w:hAnsi="Arial" w:cs="Arial"/>
        </w:rPr>
        <w:t>,</w:t>
      </w:r>
      <w:r w:rsidR="00123367">
        <w:rPr>
          <w:rFonts w:ascii="Arial" w:hAnsi="Arial" w:cs="Arial"/>
        </w:rPr>
        <w:t>31</w:t>
      </w:r>
      <w:r w:rsidRPr="00495294">
        <w:rPr>
          <w:rFonts w:ascii="Arial" w:hAnsi="Arial" w:cs="Arial"/>
        </w:rPr>
        <w:t>% para la Dirección de</w:t>
      </w:r>
      <w:r>
        <w:rPr>
          <w:rFonts w:ascii="Arial" w:hAnsi="Arial" w:cs="Arial"/>
        </w:rPr>
        <w:t xml:space="preserve"> Urbanización y Titulación</w:t>
      </w:r>
      <w:r w:rsidRPr="00495294">
        <w:rPr>
          <w:rFonts w:ascii="Arial" w:hAnsi="Arial" w:cs="Arial"/>
        </w:rPr>
        <w:t xml:space="preserve"> y un </w:t>
      </w:r>
      <w:r w:rsidR="00123367">
        <w:rPr>
          <w:rFonts w:ascii="Arial" w:hAnsi="Arial" w:cs="Arial"/>
        </w:rPr>
        <w:t>25,27</w:t>
      </w:r>
      <w:r w:rsidRPr="00495294">
        <w:rPr>
          <w:rFonts w:ascii="Arial" w:hAnsi="Arial" w:cs="Arial"/>
        </w:rPr>
        <w:t>% para la</w:t>
      </w:r>
      <w:r>
        <w:rPr>
          <w:rFonts w:ascii="Arial" w:hAnsi="Arial" w:cs="Arial"/>
        </w:rPr>
        <w:t xml:space="preserve"> Dirección de </w:t>
      </w:r>
      <w:r w:rsidRPr="00495294">
        <w:rPr>
          <w:rFonts w:ascii="Arial" w:hAnsi="Arial" w:cs="Arial"/>
        </w:rPr>
        <w:t>Mejoramiento de Vivienda</w:t>
      </w:r>
      <w:r w:rsidR="00123367">
        <w:rPr>
          <w:rFonts w:ascii="Arial" w:hAnsi="Arial" w:cs="Arial"/>
        </w:rPr>
        <w:t xml:space="preserve">; </w:t>
      </w:r>
      <w:r w:rsidRPr="00495294">
        <w:rPr>
          <w:rFonts w:ascii="Arial" w:hAnsi="Arial" w:cs="Arial"/>
        </w:rPr>
        <w:t xml:space="preserve">siendo estas las áreas o dependencias de mayor demanda de atención con </w:t>
      </w:r>
      <w:r>
        <w:rPr>
          <w:rFonts w:ascii="Arial" w:hAnsi="Arial" w:cs="Arial"/>
        </w:rPr>
        <w:t>3</w:t>
      </w:r>
      <w:r w:rsidRPr="00495294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123367">
        <w:rPr>
          <w:rFonts w:ascii="Arial" w:hAnsi="Arial" w:cs="Arial"/>
        </w:rPr>
        <w:t>20</w:t>
      </w:r>
      <w:r w:rsidRPr="00495294">
        <w:rPr>
          <w:rFonts w:ascii="Arial" w:hAnsi="Arial" w:cs="Arial"/>
        </w:rPr>
        <w:t xml:space="preserve"> asistentes a la entidad.</w:t>
      </w:r>
      <w:r w:rsidR="00123367">
        <w:rPr>
          <w:rFonts w:ascii="Arial" w:hAnsi="Arial" w:cs="Arial"/>
        </w:rPr>
        <w:t xml:space="preserve"> </w:t>
      </w:r>
    </w:p>
    <w:p w14:paraId="20DAF2BA" w14:textId="77777777" w:rsidR="00FC4E85" w:rsidRDefault="00FC4E85" w:rsidP="00FC4E85">
      <w:pPr>
        <w:spacing w:after="0" w:line="240" w:lineRule="auto"/>
        <w:jc w:val="center"/>
        <w:rPr>
          <w:rFonts w:ascii="Arial" w:hAnsi="Arial" w:cs="Arial"/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1F6E6241" wp14:editId="2DD39597">
            <wp:extent cx="6038850" cy="4933950"/>
            <wp:effectExtent l="0" t="0" r="1905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9E8451" w14:textId="77777777" w:rsidR="00FC4E85" w:rsidRPr="00050FD7" w:rsidRDefault="00FC4E85" w:rsidP="00FC4E85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 w:rsidRPr="00050FD7">
        <w:rPr>
          <w:rFonts w:ascii="Arial" w:hAnsi="Arial" w:cs="Arial"/>
          <w:bCs/>
          <w:sz w:val="16"/>
          <w:szCs w:val="16"/>
          <w:lang w:val="es-ES"/>
        </w:rPr>
        <w:t>Porcentaje de ciudadanos</w:t>
      </w:r>
      <w:r>
        <w:rPr>
          <w:rFonts w:ascii="Arial" w:hAnsi="Arial" w:cs="Arial"/>
          <w:bCs/>
          <w:sz w:val="16"/>
          <w:szCs w:val="16"/>
          <w:lang w:val="es-ES"/>
        </w:rPr>
        <w:t xml:space="preserve"> </w:t>
      </w:r>
      <w:r w:rsidRPr="00050FD7">
        <w:rPr>
          <w:rFonts w:ascii="Arial" w:hAnsi="Arial" w:cs="Arial"/>
          <w:bCs/>
          <w:sz w:val="16"/>
          <w:szCs w:val="16"/>
          <w:lang w:val="es-ES"/>
        </w:rPr>
        <w:t xml:space="preserve">atendidos por </w:t>
      </w:r>
      <w:r>
        <w:rPr>
          <w:rFonts w:ascii="Arial" w:hAnsi="Arial" w:cs="Arial"/>
          <w:bCs/>
          <w:sz w:val="16"/>
          <w:szCs w:val="16"/>
          <w:lang w:val="es-ES"/>
        </w:rPr>
        <w:t>dependencia</w:t>
      </w:r>
    </w:p>
    <w:p w14:paraId="7E46DA7C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14:paraId="7F38B6B0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p w14:paraId="3DC570A7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A7F941A" w14:textId="77777777" w:rsidR="00FC4E85" w:rsidRPr="004A6881" w:rsidRDefault="00FC4E85" w:rsidP="00FC4E85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u w:val="single"/>
        </w:rPr>
      </w:pPr>
      <w:r w:rsidRPr="004A6881">
        <w:rPr>
          <w:rFonts w:ascii="Arial" w:hAnsi="Arial" w:cs="Arial"/>
          <w:b/>
          <w:u w:val="single"/>
        </w:rPr>
        <w:t>DETALLE DE LA ATENCIÓN POR EL CANAL PRESENCIAL DE LAS DIFERENTES DEPENDENCIAS</w:t>
      </w:r>
    </w:p>
    <w:p w14:paraId="6B6196B0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9DED7B3" w14:textId="77777777" w:rsidR="00FC4E85" w:rsidRPr="004A6881" w:rsidRDefault="00FC4E85" w:rsidP="00FC4E85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4A6881">
        <w:rPr>
          <w:rFonts w:ascii="Arial" w:hAnsi="Arial" w:cs="Arial"/>
          <w:b/>
          <w:u w:val="single"/>
        </w:rPr>
        <w:t xml:space="preserve">Dirección de Reasentamientos Humanos </w:t>
      </w:r>
    </w:p>
    <w:p w14:paraId="1505A7F3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p w14:paraId="1508D86B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Esta área obtuvo una asistencia de </w:t>
      </w:r>
      <w:r>
        <w:rPr>
          <w:rFonts w:ascii="Arial" w:hAnsi="Arial" w:cs="Arial"/>
        </w:rPr>
        <w:t>1.</w:t>
      </w:r>
      <w:r w:rsidR="00123367">
        <w:rPr>
          <w:rFonts w:ascii="Arial" w:hAnsi="Arial" w:cs="Arial"/>
        </w:rPr>
        <w:t xml:space="preserve">281 </w:t>
      </w:r>
      <w:r w:rsidRPr="001079BC">
        <w:rPr>
          <w:rFonts w:ascii="Arial" w:hAnsi="Arial" w:cs="Arial"/>
        </w:rPr>
        <w:t xml:space="preserve">ciudadanos, lo que representa el </w:t>
      </w:r>
      <w:r>
        <w:rPr>
          <w:rFonts w:ascii="Arial" w:hAnsi="Arial" w:cs="Arial"/>
        </w:rPr>
        <w:t>4</w:t>
      </w:r>
      <w:r w:rsidR="00123367">
        <w:rPr>
          <w:rFonts w:ascii="Arial" w:hAnsi="Arial" w:cs="Arial"/>
        </w:rPr>
        <w:t>0</w:t>
      </w:r>
      <w:r>
        <w:rPr>
          <w:rFonts w:ascii="Arial" w:hAnsi="Arial" w:cs="Arial"/>
        </w:rPr>
        <w:t>,</w:t>
      </w:r>
      <w:r w:rsidR="00123367">
        <w:rPr>
          <w:rFonts w:ascii="Arial" w:hAnsi="Arial" w:cs="Arial"/>
        </w:rPr>
        <w:t>11</w:t>
      </w:r>
      <w:r>
        <w:rPr>
          <w:rFonts w:ascii="Arial" w:hAnsi="Arial" w:cs="Arial"/>
        </w:rPr>
        <w:t>%</w:t>
      </w:r>
      <w:r w:rsidRPr="001079BC">
        <w:rPr>
          <w:rFonts w:ascii="Arial" w:hAnsi="Arial" w:cs="Arial"/>
        </w:rPr>
        <w:t xml:space="preserve"> del total de asistentes a la entidad en </w:t>
      </w:r>
      <w:r w:rsidR="00123367">
        <w:rPr>
          <w:rFonts w:ascii="Arial" w:hAnsi="Arial" w:cs="Arial"/>
        </w:rPr>
        <w:t>septiembre</w:t>
      </w:r>
      <w:r>
        <w:rPr>
          <w:rFonts w:ascii="Arial" w:hAnsi="Arial" w:cs="Arial"/>
        </w:rPr>
        <w:t xml:space="preserve"> de 2019</w:t>
      </w:r>
      <w:r w:rsidRPr="001079BC">
        <w:rPr>
          <w:rFonts w:ascii="Arial" w:hAnsi="Arial" w:cs="Arial"/>
        </w:rPr>
        <w:t xml:space="preserve">. De los anteriores asistentes a esta dependencia, el </w:t>
      </w:r>
      <w:r>
        <w:rPr>
          <w:rFonts w:ascii="Arial" w:hAnsi="Arial" w:cs="Arial"/>
        </w:rPr>
        <w:t>9</w:t>
      </w:r>
      <w:r w:rsidR="007407B7">
        <w:rPr>
          <w:rFonts w:ascii="Arial" w:hAnsi="Arial" w:cs="Arial"/>
        </w:rPr>
        <w:t>0</w:t>
      </w:r>
      <w:r>
        <w:rPr>
          <w:rFonts w:ascii="Arial" w:hAnsi="Arial" w:cs="Arial"/>
        </w:rPr>
        <w:t>,</w:t>
      </w:r>
      <w:r w:rsidR="007407B7">
        <w:rPr>
          <w:rFonts w:ascii="Arial" w:hAnsi="Arial" w:cs="Arial"/>
        </w:rPr>
        <w:t xml:space="preserve">55 </w:t>
      </w:r>
      <w:r>
        <w:rPr>
          <w:rFonts w:ascii="Arial" w:hAnsi="Arial" w:cs="Arial"/>
        </w:rPr>
        <w:t>% (1.</w:t>
      </w:r>
      <w:r w:rsidR="00E33206">
        <w:rPr>
          <w:rFonts w:ascii="Arial" w:hAnsi="Arial" w:cs="Arial"/>
        </w:rPr>
        <w:t>160</w:t>
      </w:r>
      <w:r w:rsidRPr="001079BC">
        <w:rPr>
          <w:rFonts w:ascii="Arial" w:hAnsi="Arial" w:cs="Arial"/>
        </w:rPr>
        <w:t xml:space="preserve">) se acercó para </w:t>
      </w:r>
      <w:r>
        <w:rPr>
          <w:rFonts w:ascii="Arial" w:hAnsi="Arial" w:cs="Arial"/>
        </w:rPr>
        <w:t>indagar por el e</w:t>
      </w:r>
      <w:r w:rsidRPr="001079BC">
        <w:rPr>
          <w:rFonts w:ascii="Arial" w:hAnsi="Arial" w:cs="Arial"/>
        </w:rPr>
        <w:t>stado de</w:t>
      </w:r>
      <w:r>
        <w:rPr>
          <w:rFonts w:ascii="Arial" w:hAnsi="Arial" w:cs="Arial"/>
        </w:rPr>
        <w:t xml:space="preserve"> su p</w:t>
      </w:r>
      <w:r w:rsidRPr="001079BC">
        <w:rPr>
          <w:rFonts w:ascii="Arial" w:hAnsi="Arial" w:cs="Arial"/>
        </w:rPr>
        <w:t>roceso</w:t>
      </w:r>
      <w:r>
        <w:rPr>
          <w:rFonts w:ascii="Arial" w:hAnsi="Arial" w:cs="Arial"/>
        </w:rPr>
        <w:t>.</w:t>
      </w:r>
    </w:p>
    <w:p w14:paraId="0F632AC2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356" w:type="dxa"/>
        <w:tblInd w:w="108" w:type="dxa"/>
        <w:tblLook w:val="04A0" w:firstRow="1" w:lastRow="0" w:firstColumn="1" w:lastColumn="0" w:noHBand="0" w:noVBand="1"/>
      </w:tblPr>
      <w:tblGrid>
        <w:gridCol w:w="4120"/>
        <w:gridCol w:w="3359"/>
        <w:gridCol w:w="1877"/>
      </w:tblGrid>
      <w:tr w:rsidR="00FC4E85" w14:paraId="4F35AF62" w14:textId="77777777" w:rsidTr="00507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09069BF" w14:textId="77777777" w:rsidR="00FC4E85" w:rsidRDefault="00FC4E85" w:rsidP="00E447E5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DIRECCIÓN DE REASENTAMIENTOS HUMANOS</w:t>
            </w:r>
          </w:p>
        </w:tc>
      </w:tr>
      <w:tr w:rsidR="00E447E5" w14:paraId="1FE479A0" w14:textId="77777777" w:rsidTr="00507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9962B20" w14:textId="77777777" w:rsidR="00FC4E85" w:rsidRDefault="00FC4E85" w:rsidP="00E447E5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TRAMITE O SERVICIO</w:t>
            </w:r>
          </w:p>
        </w:tc>
        <w:tc>
          <w:tcPr>
            <w:tcW w:w="3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101535F" w14:textId="77777777" w:rsidR="00FC4E85" w:rsidRDefault="00FC4E85" w:rsidP="00E447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CIUDADANOS ATENDIDOS</w:t>
            </w:r>
          </w:p>
        </w:tc>
        <w:tc>
          <w:tcPr>
            <w:tcW w:w="18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AE8612A" w14:textId="77777777" w:rsidR="00FC4E85" w:rsidRDefault="00FC4E85" w:rsidP="00E447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PORCENTAJE</w:t>
            </w:r>
          </w:p>
        </w:tc>
      </w:tr>
      <w:tr w:rsidR="00507A32" w14:paraId="070024FD" w14:textId="77777777" w:rsidTr="00E33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1B1AC226" w14:textId="77777777" w:rsidR="00FC4E85" w:rsidRPr="00F64C9E" w:rsidRDefault="00F64C9E" w:rsidP="002C5A58">
            <w:pPr>
              <w:spacing w:after="0" w:line="240" w:lineRule="auto"/>
              <w:rPr>
                <w:b w:val="0"/>
                <w:color w:val="000000"/>
              </w:rPr>
            </w:pPr>
            <w:r w:rsidRPr="00F64C9E">
              <w:rPr>
                <w:b w:val="0"/>
                <w:color w:val="000000"/>
              </w:rPr>
              <w:t>Estado del proceso</w:t>
            </w:r>
          </w:p>
        </w:tc>
        <w:tc>
          <w:tcPr>
            <w:tcW w:w="3359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6C96E92B" w14:textId="77777777" w:rsidR="00FC4E85" w:rsidRDefault="00E33206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1.160</w:t>
            </w:r>
          </w:p>
        </w:tc>
        <w:tc>
          <w:tcPr>
            <w:tcW w:w="1877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747C0DC1" w14:textId="77777777" w:rsidR="007407B7" w:rsidRPr="007407B7" w:rsidRDefault="007407B7" w:rsidP="007407B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407B7">
              <w:rPr>
                <w:color w:val="000000"/>
              </w:rPr>
              <w:t>90,55%</w:t>
            </w:r>
          </w:p>
          <w:p w14:paraId="56289E1F" w14:textId="77777777" w:rsidR="007407B7" w:rsidRPr="007407B7" w:rsidRDefault="007407B7" w:rsidP="007407B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407B7">
              <w:rPr>
                <w:color w:val="000000"/>
              </w:rPr>
              <w:t>3,36%</w:t>
            </w:r>
          </w:p>
          <w:p w14:paraId="6F46F296" w14:textId="77777777" w:rsidR="007407B7" w:rsidRPr="007407B7" w:rsidRDefault="007407B7" w:rsidP="007407B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407B7">
              <w:rPr>
                <w:color w:val="000000"/>
              </w:rPr>
              <w:t>2,19%</w:t>
            </w:r>
          </w:p>
          <w:p w14:paraId="0FD550D7" w14:textId="77777777" w:rsidR="007407B7" w:rsidRPr="007407B7" w:rsidRDefault="007407B7" w:rsidP="007407B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407B7">
              <w:rPr>
                <w:color w:val="000000"/>
              </w:rPr>
              <w:t>0,47%</w:t>
            </w:r>
          </w:p>
          <w:p w14:paraId="058B14C3" w14:textId="77777777" w:rsidR="007407B7" w:rsidRPr="007407B7" w:rsidRDefault="007407B7" w:rsidP="007407B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407B7">
              <w:rPr>
                <w:color w:val="000000"/>
              </w:rPr>
              <w:t>0,78%</w:t>
            </w:r>
          </w:p>
          <w:p w14:paraId="43A82959" w14:textId="77777777" w:rsidR="007407B7" w:rsidRPr="007407B7" w:rsidRDefault="007407B7" w:rsidP="007407B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407B7">
              <w:rPr>
                <w:color w:val="000000"/>
              </w:rPr>
              <w:t>0,23%</w:t>
            </w:r>
          </w:p>
          <w:p w14:paraId="25471120" w14:textId="77777777" w:rsidR="007407B7" w:rsidRPr="007407B7" w:rsidRDefault="007407B7" w:rsidP="007407B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407B7">
              <w:rPr>
                <w:color w:val="000000"/>
              </w:rPr>
              <w:t>1,01%</w:t>
            </w:r>
          </w:p>
          <w:p w14:paraId="3268D1A4" w14:textId="77777777" w:rsidR="007407B7" w:rsidRPr="007407B7" w:rsidRDefault="007407B7" w:rsidP="007407B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407B7">
              <w:rPr>
                <w:color w:val="000000"/>
              </w:rPr>
              <w:t>0,86%</w:t>
            </w:r>
          </w:p>
          <w:p w14:paraId="7A3F5252" w14:textId="77777777" w:rsidR="007407B7" w:rsidRPr="007407B7" w:rsidRDefault="007407B7" w:rsidP="007407B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407B7">
              <w:rPr>
                <w:color w:val="000000"/>
              </w:rPr>
              <w:t>0,08%</w:t>
            </w:r>
          </w:p>
          <w:p w14:paraId="6A461A82" w14:textId="77777777" w:rsidR="007407B7" w:rsidRPr="007407B7" w:rsidRDefault="007407B7" w:rsidP="007407B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407B7">
              <w:rPr>
                <w:color w:val="000000"/>
              </w:rPr>
              <w:t>0,31%</w:t>
            </w:r>
          </w:p>
          <w:p w14:paraId="1E73DDD9" w14:textId="77777777" w:rsidR="007407B7" w:rsidRPr="007407B7" w:rsidRDefault="007407B7" w:rsidP="007407B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407B7">
              <w:rPr>
                <w:color w:val="000000"/>
              </w:rPr>
              <w:t>0,16%</w:t>
            </w:r>
          </w:p>
          <w:p w14:paraId="5E128188" w14:textId="77777777" w:rsidR="00FC4E85" w:rsidRDefault="007407B7" w:rsidP="007407B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407B7">
              <w:rPr>
                <w:color w:val="000000"/>
              </w:rPr>
              <w:t>100,00%</w:t>
            </w:r>
          </w:p>
        </w:tc>
      </w:tr>
      <w:tr w:rsidR="00E447E5" w14:paraId="6F19FD24" w14:textId="77777777" w:rsidTr="00E3320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B97A493" w14:textId="77777777" w:rsidR="00FC4E85" w:rsidRPr="00F64C9E" w:rsidRDefault="00F64C9E" w:rsidP="002C5A58">
            <w:pPr>
              <w:spacing w:after="0" w:line="240" w:lineRule="auto"/>
              <w:rPr>
                <w:b w:val="0"/>
                <w:color w:val="000000"/>
              </w:rPr>
            </w:pPr>
            <w:r w:rsidRPr="00F64C9E">
              <w:rPr>
                <w:b w:val="0"/>
                <w:color w:val="000000"/>
              </w:rPr>
              <w:t>Radicación contrato de arriendo</w:t>
            </w:r>
          </w:p>
        </w:tc>
        <w:tc>
          <w:tcPr>
            <w:tcW w:w="3359" w:type="dxa"/>
            <w:shd w:val="clear" w:color="auto" w:fill="auto"/>
            <w:noWrap/>
            <w:vAlign w:val="center"/>
            <w:hideMark/>
          </w:tcPr>
          <w:p w14:paraId="73916AC0" w14:textId="77777777" w:rsidR="00FC4E85" w:rsidRDefault="00E33206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tbl>
            <w:tblPr>
              <w:tblW w:w="1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7407B7" w:rsidRPr="007407B7" w14:paraId="57587802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92F4D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3,36%</w:t>
                  </w:r>
                </w:p>
              </w:tc>
            </w:tr>
            <w:tr w:rsidR="007407B7" w:rsidRPr="007407B7" w14:paraId="53980470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0D929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2,19%</w:t>
                  </w:r>
                </w:p>
              </w:tc>
            </w:tr>
            <w:tr w:rsidR="007407B7" w:rsidRPr="007407B7" w14:paraId="336B5449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F10FC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0,47%</w:t>
                  </w:r>
                </w:p>
              </w:tc>
            </w:tr>
            <w:tr w:rsidR="007407B7" w:rsidRPr="007407B7" w14:paraId="42A7F53B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D4BF6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0,78%</w:t>
                  </w:r>
                </w:p>
              </w:tc>
            </w:tr>
            <w:tr w:rsidR="007407B7" w:rsidRPr="007407B7" w14:paraId="4D719CE8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7C29B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0,23%</w:t>
                  </w:r>
                </w:p>
              </w:tc>
            </w:tr>
            <w:tr w:rsidR="007407B7" w:rsidRPr="007407B7" w14:paraId="2278B32C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D6000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1,01%</w:t>
                  </w:r>
                </w:p>
              </w:tc>
            </w:tr>
            <w:tr w:rsidR="007407B7" w:rsidRPr="007407B7" w14:paraId="0BC0616B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7E6A4A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0,86%</w:t>
                  </w:r>
                </w:p>
              </w:tc>
            </w:tr>
            <w:tr w:rsidR="007407B7" w:rsidRPr="007407B7" w14:paraId="581EA862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5F2C0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0,08%</w:t>
                  </w:r>
                </w:p>
              </w:tc>
            </w:tr>
            <w:tr w:rsidR="007407B7" w:rsidRPr="007407B7" w14:paraId="371DD03D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EA287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0,31%</w:t>
                  </w:r>
                </w:p>
              </w:tc>
            </w:tr>
            <w:tr w:rsidR="007407B7" w:rsidRPr="007407B7" w14:paraId="2BD0C90A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A7AAC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0,16%</w:t>
                  </w:r>
                </w:p>
              </w:tc>
            </w:tr>
            <w:tr w:rsidR="007407B7" w:rsidRPr="007407B7" w14:paraId="11292D4A" w14:textId="77777777" w:rsidTr="007407B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D5316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14:paraId="73BB2F7E" w14:textId="77777777" w:rsidR="00FC4E85" w:rsidRDefault="00FC4E85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C4E85" w14:paraId="3B2371EB" w14:textId="77777777" w:rsidTr="00E33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53113E65" w14:textId="77777777" w:rsidR="00FC4E85" w:rsidRPr="00F64C9E" w:rsidRDefault="00F64C9E" w:rsidP="002C5A58">
            <w:pPr>
              <w:spacing w:after="0" w:line="240" w:lineRule="auto"/>
              <w:rPr>
                <w:b w:val="0"/>
                <w:color w:val="000000"/>
              </w:rPr>
            </w:pPr>
            <w:r w:rsidRPr="00F64C9E">
              <w:rPr>
                <w:b w:val="0"/>
                <w:color w:val="000000"/>
              </w:rPr>
              <w:t>Ingreso al programa</w:t>
            </w:r>
          </w:p>
        </w:tc>
        <w:tc>
          <w:tcPr>
            <w:tcW w:w="3359" w:type="dxa"/>
            <w:noWrap/>
            <w:vAlign w:val="center"/>
            <w:hideMark/>
          </w:tcPr>
          <w:p w14:paraId="57938D52" w14:textId="77777777" w:rsidR="00FC4E85" w:rsidRDefault="00E33206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877" w:type="dxa"/>
            <w:noWrap/>
            <w:vAlign w:val="center"/>
          </w:tcPr>
          <w:tbl>
            <w:tblPr>
              <w:tblW w:w="1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7407B7" w:rsidRPr="007407B7" w14:paraId="131801EA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15A74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2,19%</w:t>
                  </w:r>
                </w:p>
              </w:tc>
            </w:tr>
            <w:tr w:rsidR="007407B7" w:rsidRPr="007407B7" w14:paraId="08BFBCDE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E2575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0,47%</w:t>
                  </w:r>
                </w:p>
              </w:tc>
            </w:tr>
            <w:tr w:rsidR="007407B7" w:rsidRPr="007407B7" w14:paraId="7F9D5DC4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D4F70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0,78%</w:t>
                  </w:r>
                </w:p>
              </w:tc>
            </w:tr>
            <w:tr w:rsidR="007407B7" w:rsidRPr="007407B7" w14:paraId="057BDED9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31F7D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0,23%</w:t>
                  </w:r>
                </w:p>
              </w:tc>
            </w:tr>
            <w:tr w:rsidR="007407B7" w:rsidRPr="007407B7" w14:paraId="12ACFD81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0D58A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1,01%</w:t>
                  </w:r>
                </w:p>
              </w:tc>
            </w:tr>
            <w:tr w:rsidR="007407B7" w:rsidRPr="007407B7" w14:paraId="5DBE834A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606C6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0,86%</w:t>
                  </w:r>
                </w:p>
              </w:tc>
            </w:tr>
            <w:tr w:rsidR="007407B7" w:rsidRPr="007407B7" w14:paraId="004D844B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F91E9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0,08%</w:t>
                  </w:r>
                </w:p>
              </w:tc>
            </w:tr>
            <w:tr w:rsidR="007407B7" w:rsidRPr="007407B7" w14:paraId="75FEC588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8F369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0,31%</w:t>
                  </w:r>
                </w:p>
              </w:tc>
            </w:tr>
            <w:tr w:rsidR="007407B7" w:rsidRPr="007407B7" w14:paraId="1E2A8A34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CD815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0,16%</w:t>
                  </w:r>
                </w:p>
              </w:tc>
            </w:tr>
            <w:tr w:rsidR="007407B7" w:rsidRPr="007407B7" w14:paraId="0AAB5AC3" w14:textId="77777777" w:rsidTr="007407B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4A7EF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14:paraId="6AC5A3A2" w14:textId="77777777" w:rsidR="00FC4E85" w:rsidRDefault="00FC4E85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447E5" w14:paraId="1E52EC31" w14:textId="77777777" w:rsidTr="00E3320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59D605C8" w14:textId="77777777" w:rsidR="00FC4E85" w:rsidRPr="00F64C9E" w:rsidRDefault="00F64C9E" w:rsidP="002C5A58">
            <w:pPr>
              <w:spacing w:after="0" w:line="240" w:lineRule="auto"/>
              <w:rPr>
                <w:b w:val="0"/>
                <w:color w:val="000000"/>
              </w:rPr>
            </w:pPr>
            <w:r w:rsidRPr="00F64C9E">
              <w:rPr>
                <w:b w:val="0"/>
                <w:color w:val="000000"/>
              </w:rPr>
              <w:t>Entrega vivienda</w:t>
            </w:r>
          </w:p>
        </w:tc>
        <w:tc>
          <w:tcPr>
            <w:tcW w:w="3359" w:type="dxa"/>
            <w:noWrap/>
            <w:vAlign w:val="center"/>
            <w:hideMark/>
          </w:tcPr>
          <w:p w14:paraId="02A8B974" w14:textId="77777777" w:rsidR="00FC4E85" w:rsidRDefault="00E33206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77" w:type="dxa"/>
            <w:noWrap/>
            <w:vAlign w:val="center"/>
          </w:tcPr>
          <w:tbl>
            <w:tblPr>
              <w:tblW w:w="1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7407B7" w:rsidRPr="007407B7" w14:paraId="1A49E08F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F4AEB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0,47%</w:t>
                  </w:r>
                </w:p>
              </w:tc>
            </w:tr>
            <w:tr w:rsidR="007407B7" w:rsidRPr="007407B7" w14:paraId="56B2D9CB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38877F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0,78%</w:t>
                  </w:r>
                </w:p>
              </w:tc>
            </w:tr>
            <w:tr w:rsidR="007407B7" w:rsidRPr="007407B7" w14:paraId="6B614B27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A259A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0,23%</w:t>
                  </w:r>
                </w:p>
              </w:tc>
            </w:tr>
            <w:tr w:rsidR="007407B7" w:rsidRPr="007407B7" w14:paraId="5128FE56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CF894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1,01%</w:t>
                  </w:r>
                </w:p>
              </w:tc>
            </w:tr>
            <w:tr w:rsidR="007407B7" w:rsidRPr="007407B7" w14:paraId="44F9251E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20867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0,86%</w:t>
                  </w:r>
                </w:p>
              </w:tc>
            </w:tr>
            <w:tr w:rsidR="007407B7" w:rsidRPr="007407B7" w14:paraId="3888F168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1D79A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0,08%</w:t>
                  </w:r>
                </w:p>
              </w:tc>
            </w:tr>
            <w:tr w:rsidR="007407B7" w:rsidRPr="007407B7" w14:paraId="7A0EC9CD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2010A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0,31%</w:t>
                  </w:r>
                </w:p>
              </w:tc>
            </w:tr>
            <w:tr w:rsidR="007407B7" w:rsidRPr="007407B7" w14:paraId="2C59BE9E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0B057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0,16%</w:t>
                  </w:r>
                </w:p>
              </w:tc>
            </w:tr>
            <w:tr w:rsidR="007407B7" w:rsidRPr="007407B7" w14:paraId="350DBDC7" w14:textId="77777777" w:rsidTr="007407B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2720B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14:paraId="6B365475" w14:textId="77777777" w:rsidR="00FC4E85" w:rsidRDefault="00FC4E85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C4E85" w14:paraId="480CBFEB" w14:textId="77777777" w:rsidTr="00E33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6E3BC5A0" w14:textId="77777777" w:rsidR="00FC4E85" w:rsidRPr="00F64C9E" w:rsidRDefault="00F64C9E" w:rsidP="002C5A58">
            <w:pPr>
              <w:spacing w:after="0" w:line="240" w:lineRule="auto"/>
              <w:rPr>
                <w:b w:val="0"/>
                <w:color w:val="000000"/>
              </w:rPr>
            </w:pPr>
            <w:r w:rsidRPr="00F64C9E">
              <w:rPr>
                <w:b w:val="0"/>
                <w:color w:val="000000"/>
              </w:rPr>
              <w:t>Negociación vivienda usada</w:t>
            </w:r>
          </w:p>
        </w:tc>
        <w:tc>
          <w:tcPr>
            <w:tcW w:w="3359" w:type="dxa"/>
            <w:noWrap/>
            <w:vAlign w:val="center"/>
            <w:hideMark/>
          </w:tcPr>
          <w:p w14:paraId="06198350" w14:textId="77777777" w:rsidR="00FC4E85" w:rsidRDefault="00E33206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77" w:type="dxa"/>
            <w:noWrap/>
            <w:vAlign w:val="center"/>
          </w:tcPr>
          <w:tbl>
            <w:tblPr>
              <w:tblW w:w="1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7407B7" w:rsidRPr="007407B7" w14:paraId="7BFDB386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F5507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0,78%</w:t>
                  </w:r>
                </w:p>
              </w:tc>
            </w:tr>
            <w:tr w:rsidR="007407B7" w:rsidRPr="007407B7" w14:paraId="1183D5DF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D0E8B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0,23%</w:t>
                  </w:r>
                </w:p>
              </w:tc>
            </w:tr>
            <w:tr w:rsidR="007407B7" w:rsidRPr="007407B7" w14:paraId="54C3FCD0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08AA8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1,01%</w:t>
                  </w:r>
                </w:p>
              </w:tc>
            </w:tr>
            <w:tr w:rsidR="007407B7" w:rsidRPr="007407B7" w14:paraId="45AB0F41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C690B9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0,86%</w:t>
                  </w:r>
                </w:p>
              </w:tc>
            </w:tr>
            <w:tr w:rsidR="007407B7" w:rsidRPr="007407B7" w14:paraId="7ADF98A8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508CE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0,08%</w:t>
                  </w:r>
                </w:p>
              </w:tc>
            </w:tr>
            <w:tr w:rsidR="007407B7" w:rsidRPr="007407B7" w14:paraId="13AE2B7C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F04C5B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0,31%</w:t>
                  </w:r>
                </w:p>
              </w:tc>
            </w:tr>
            <w:tr w:rsidR="007407B7" w:rsidRPr="007407B7" w14:paraId="37BB5C37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6E13B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0,16%</w:t>
                  </w:r>
                </w:p>
              </w:tc>
            </w:tr>
            <w:tr w:rsidR="007407B7" w:rsidRPr="007407B7" w14:paraId="4C58202F" w14:textId="77777777" w:rsidTr="007407B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CD8445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14:paraId="6BD79219" w14:textId="77777777" w:rsidR="00FC4E85" w:rsidRDefault="00FC4E85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C4E85" w14:paraId="71DF4D1B" w14:textId="77777777" w:rsidTr="00E3320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2C2B7782" w14:textId="77777777" w:rsidR="00FC4E85" w:rsidRPr="00F64C9E" w:rsidRDefault="00F64C9E" w:rsidP="002C5A58">
            <w:pPr>
              <w:spacing w:after="0" w:line="240" w:lineRule="auto"/>
              <w:rPr>
                <w:b w:val="0"/>
                <w:color w:val="000000"/>
              </w:rPr>
            </w:pPr>
            <w:r w:rsidRPr="00F64C9E">
              <w:rPr>
                <w:b w:val="0"/>
                <w:color w:val="000000"/>
              </w:rPr>
              <w:t>Notificación de resolución</w:t>
            </w:r>
          </w:p>
        </w:tc>
        <w:tc>
          <w:tcPr>
            <w:tcW w:w="3359" w:type="dxa"/>
            <w:noWrap/>
            <w:vAlign w:val="center"/>
            <w:hideMark/>
          </w:tcPr>
          <w:p w14:paraId="1A94879A" w14:textId="77777777" w:rsidR="00FC4E85" w:rsidRDefault="00E33206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77" w:type="dxa"/>
            <w:noWrap/>
            <w:vAlign w:val="center"/>
          </w:tcPr>
          <w:tbl>
            <w:tblPr>
              <w:tblW w:w="1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7407B7" w:rsidRPr="007407B7" w14:paraId="07707995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2DC76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0,23%</w:t>
                  </w:r>
                </w:p>
              </w:tc>
            </w:tr>
            <w:tr w:rsidR="007407B7" w:rsidRPr="007407B7" w14:paraId="4F35B2E1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4ED06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1,01%</w:t>
                  </w:r>
                </w:p>
              </w:tc>
            </w:tr>
            <w:tr w:rsidR="007407B7" w:rsidRPr="007407B7" w14:paraId="0A0F23EB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C4851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0,86%</w:t>
                  </w:r>
                </w:p>
              </w:tc>
            </w:tr>
            <w:tr w:rsidR="007407B7" w:rsidRPr="007407B7" w14:paraId="4B04913B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1B5B5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0,08%</w:t>
                  </w:r>
                </w:p>
              </w:tc>
            </w:tr>
            <w:tr w:rsidR="007407B7" w:rsidRPr="007407B7" w14:paraId="21E10994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47249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0,31%</w:t>
                  </w:r>
                </w:p>
              </w:tc>
            </w:tr>
            <w:tr w:rsidR="007407B7" w:rsidRPr="007407B7" w14:paraId="18E4658B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928F0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0,16%</w:t>
                  </w:r>
                </w:p>
              </w:tc>
            </w:tr>
            <w:tr w:rsidR="007407B7" w:rsidRPr="007407B7" w14:paraId="7600B21C" w14:textId="77777777" w:rsidTr="007407B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83D9F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14:paraId="13BDC29A" w14:textId="77777777" w:rsidR="00FC4E85" w:rsidRDefault="00FC4E85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447E5" w14:paraId="13CBD12C" w14:textId="77777777" w:rsidTr="00E33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E9E09BC" w14:textId="77777777" w:rsidR="00FC4E85" w:rsidRPr="00F64C9E" w:rsidRDefault="00F64C9E" w:rsidP="002C5A58">
            <w:pPr>
              <w:spacing w:after="0" w:line="240" w:lineRule="auto"/>
              <w:rPr>
                <w:b w:val="0"/>
                <w:color w:val="000000"/>
              </w:rPr>
            </w:pPr>
            <w:r w:rsidRPr="00F64C9E">
              <w:rPr>
                <w:b w:val="0"/>
                <w:color w:val="000000"/>
              </w:rPr>
              <w:t>Desembolso de mejoras</w:t>
            </w:r>
          </w:p>
        </w:tc>
        <w:tc>
          <w:tcPr>
            <w:tcW w:w="3359" w:type="dxa"/>
            <w:noWrap/>
            <w:vAlign w:val="center"/>
            <w:hideMark/>
          </w:tcPr>
          <w:p w14:paraId="2FE82DC4" w14:textId="77777777" w:rsidR="00FC4E85" w:rsidRDefault="00E33206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77" w:type="dxa"/>
            <w:noWrap/>
            <w:vAlign w:val="center"/>
          </w:tcPr>
          <w:tbl>
            <w:tblPr>
              <w:tblW w:w="1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7407B7" w:rsidRPr="007407B7" w14:paraId="54FB3D37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08214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1,01%</w:t>
                  </w:r>
                </w:p>
              </w:tc>
            </w:tr>
            <w:tr w:rsidR="007407B7" w:rsidRPr="007407B7" w14:paraId="4ACDD27F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83BE0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0,86%</w:t>
                  </w:r>
                </w:p>
              </w:tc>
            </w:tr>
            <w:tr w:rsidR="007407B7" w:rsidRPr="007407B7" w14:paraId="0F43E253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12EF9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0,08%</w:t>
                  </w:r>
                </w:p>
              </w:tc>
            </w:tr>
            <w:tr w:rsidR="007407B7" w:rsidRPr="007407B7" w14:paraId="64D8EF97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E31CA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0,31%</w:t>
                  </w:r>
                </w:p>
              </w:tc>
            </w:tr>
            <w:tr w:rsidR="007407B7" w:rsidRPr="007407B7" w14:paraId="6873B7B5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C728E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0,16%</w:t>
                  </w:r>
                </w:p>
              </w:tc>
            </w:tr>
            <w:tr w:rsidR="007407B7" w:rsidRPr="007407B7" w14:paraId="6263B394" w14:textId="77777777" w:rsidTr="007407B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B79FD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14:paraId="25ED1859" w14:textId="77777777" w:rsidR="00FC4E85" w:rsidRDefault="00FC4E85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33206" w14:paraId="7B8DE950" w14:textId="77777777" w:rsidTr="002C5A58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14:paraId="0D24395D" w14:textId="77777777" w:rsidR="00E33206" w:rsidRPr="00E33206" w:rsidRDefault="00E33206" w:rsidP="002C5A58">
            <w:pPr>
              <w:spacing w:after="0" w:line="240" w:lineRule="auto"/>
              <w:rPr>
                <w:b w:val="0"/>
                <w:color w:val="000000" w:themeColor="text1"/>
              </w:rPr>
            </w:pPr>
            <w:r w:rsidRPr="00E33206">
              <w:rPr>
                <w:b w:val="0"/>
                <w:color w:val="000000" w:themeColor="text1"/>
              </w:rPr>
              <w:t>Selección de Vivienda</w:t>
            </w:r>
          </w:p>
        </w:tc>
        <w:tc>
          <w:tcPr>
            <w:tcW w:w="3359" w:type="dxa"/>
            <w:noWrap/>
            <w:vAlign w:val="center"/>
          </w:tcPr>
          <w:p w14:paraId="41B956FD" w14:textId="77777777" w:rsidR="00E33206" w:rsidRPr="00E33206" w:rsidRDefault="00E33206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33206">
              <w:rPr>
                <w:color w:val="000000" w:themeColor="text1"/>
              </w:rPr>
              <w:t>11</w:t>
            </w:r>
          </w:p>
        </w:tc>
        <w:tc>
          <w:tcPr>
            <w:tcW w:w="1877" w:type="dxa"/>
            <w:noWrap/>
            <w:vAlign w:val="center"/>
          </w:tcPr>
          <w:tbl>
            <w:tblPr>
              <w:tblW w:w="1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7407B7" w:rsidRPr="007407B7" w14:paraId="1CD44857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AF635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0,86%</w:t>
                  </w:r>
                </w:p>
              </w:tc>
            </w:tr>
            <w:tr w:rsidR="007407B7" w:rsidRPr="007407B7" w14:paraId="5C5A051F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7F977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0,08%</w:t>
                  </w:r>
                </w:p>
              </w:tc>
            </w:tr>
            <w:tr w:rsidR="007407B7" w:rsidRPr="007407B7" w14:paraId="4111542A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836DA0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0,31%</w:t>
                  </w:r>
                </w:p>
              </w:tc>
            </w:tr>
            <w:tr w:rsidR="007407B7" w:rsidRPr="007407B7" w14:paraId="54338BFF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69C35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0,16%</w:t>
                  </w:r>
                </w:p>
              </w:tc>
            </w:tr>
            <w:tr w:rsidR="007407B7" w:rsidRPr="007407B7" w14:paraId="72CF2E36" w14:textId="77777777" w:rsidTr="007407B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EA14F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14:paraId="112CB7A5" w14:textId="77777777" w:rsidR="00E33206" w:rsidRDefault="00E33206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C4E85" w14:paraId="0FCFFDF6" w14:textId="77777777" w:rsidTr="00E33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0E3CA0FF" w14:textId="77777777" w:rsidR="00FC4E85" w:rsidRPr="00F64C9E" w:rsidRDefault="00F64C9E" w:rsidP="002C5A58">
            <w:pPr>
              <w:spacing w:after="0" w:line="240" w:lineRule="auto"/>
              <w:rPr>
                <w:b w:val="0"/>
                <w:color w:val="000000"/>
              </w:rPr>
            </w:pPr>
            <w:r w:rsidRPr="00F64C9E">
              <w:rPr>
                <w:b w:val="0"/>
                <w:color w:val="000000"/>
              </w:rPr>
              <w:t>Certificado de vinculación</w:t>
            </w:r>
          </w:p>
        </w:tc>
        <w:tc>
          <w:tcPr>
            <w:tcW w:w="3359" w:type="dxa"/>
            <w:noWrap/>
            <w:vAlign w:val="center"/>
            <w:hideMark/>
          </w:tcPr>
          <w:p w14:paraId="46F8FEB9" w14:textId="77777777" w:rsidR="00FC4E85" w:rsidRDefault="00E33206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7" w:type="dxa"/>
            <w:noWrap/>
            <w:vAlign w:val="center"/>
          </w:tcPr>
          <w:tbl>
            <w:tblPr>
              <w:tblW w:w="1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7407B7" w:rsidRPr="007407B7" w14:paraId="0EA90744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50DFDD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0,08%</w:t>
                  </w:r>
                </w:p>
              </w:tc>
            </w:tr>
            <w:tr w:rsidR="007407B7" w:rsidRPr="007407B7" w14:paraId="5F575B49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8775A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0,31%</w:t>
                  </w:r>
                </w:p>
              </w:tc>
            </w:tr>
            <w:tr w:rsidR="007407B7" w:rsidRPr="007407B7" w14:paraId="3B1B7D9A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5E413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0,16%</w:t>
                  </w:r>
                </w:p>
              </w:tc>
            </w:tr>
            <w:tr w:rsidR="007407B7" w:rsidRPr="007407B7" w14:paraId="411F2765" w14:textId="77777777" w:rsidTr="007407B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AE487A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100,00%</w:t>
                  </w:r>
                </w:p>
              </w:tc>
            </w:tr>
            <w:tr w:rsidR="007407B7" w:rsidRPr="007407B7" w14:paraId="531D1ECC" w14:textId="77777777" w:rsidTr="007407B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71492" w14:textId="77777777" w:rsidR="007407B7" w:rsidRPr="007407B7" w:rsidRDefault="007407B7" w:rsidP="007407B7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</w:p>
              </w:tc>
            </w:tr>
          </w:tbl>
          <w:p w14:paraId="1F335852" w14:textId="77777777" w:rsidR="00FC4E85" w:rsidRDefault="00FC4E85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447E5" w14:paraId="0D61A7C1" w14:textId="77777777" w:rsidTr="00E3320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94E7460" w14:textId="77777777" w:rsidR="00FC4E85" w:rsidRPr="00F64C9E" w:rsidRDefault="00F64C9E" w:rsidP="002C5A58">
            <w:pPr>
              <w:spacing w:after="0" w:line="240" w:lineRule="auto"/>
              <w:rPr>
                <w:b w:val="0"/>
                <w:color w:val="000000"/>
              </w:rPr>
            </w:pPr>
            <w:r w:rsidRPr="00F64C9E">
              <w:rPr>
                <w:b w:val="0"/>
                <w:color w:val="000000"/>
              </w:rPr>
              <w:t>Respuesta radicado</w:t>
            </w:r>
          </w:p>
        </w:tc>
        <w:tc>
          <w:tcPr>
            <w:tcW w:w="3359" w:type="dxa"/>
            <w:noWrap/>
            <w:vAlign w:val="center"/>
            <w:hideMark/>
          </w:tcPr>
          <w:p w14:paraId="11D34E96" w14:textId="77777777" w:rsidR="00FC4E85" w:rsidRDefault="00E33206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77" w:type="dxa"/>
            <w:noWrap/>
            <w:vAlign w:val="center"/>
          </w:tcPr>
          <w:tbl>
            <w:tblPr>
              <w:tblW w:w="1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7407B7" w:rsidRPr="007407B7" w14:paraId="602B7E04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A7D72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0,31%</w:t>
                  </w:r>
                </w:p>
              </w:tc>
            </w:tr>
            <w:tr w:rsidR="007407B7" w:rsidRPr="007407B7" w14:paraId="10272DAD" w14:textId="77777777" w:rsidTr="007407B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E462D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0,16%</w:t>
                  </w:r>
                </w:p>
              </w:tc>
            </w:tr>
            <w:tr w:rsidR="007407B7" w:rsidRPr="007407B7" w14:paraId="64D394AE" w14:textId="77777777" w:rsidTr="007407B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00D1B" w14:textId="77777777" w:rsidR="007407B7" w:rsidRPr="007407B7" w:rsidRDefault="007407B7" w:rsidP="007407B7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7407B7">
                    <w:rPr>
                      <w:rFonts w:eastAsia="Times New Roman"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14:paraId="23FBC92E" w14:textId="77777777" w:rsidR="00FC4E85" w:rsidRDefault="00FC4E85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C4E85" w14:paraId="33A9682F" w14:textId="77777777" w:rsidTr="00E33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66D59DF" w14:textId="77777777" w:rsidR="00FC4E85" w:rsidRPr="00F64C9E" w:rsidRDefault="00F64C9E" w:rsidP="002C5A58">
            <w:pPr>
              <w:spacing w:after="0" w:line="240" w:lineRule="auto"/>
              <w:rPr>
                <w:b w:val="0"/>
                <w:color w:val="000000"/>
              </w:rPr>
            </w:pPr>
            <w:r w:rsidRPr="00F64C9E">
              <w:rPr>
                <w:b w:val="0"/>
                <w:color w:val="000000"/>
              </w:rPr>
              <w:t>Relocalización transitoria (pago)</w:t>
            </w:r>
          </w:p>
        </w:tc>
        <w:tc>
          <w:tcPr>
            <w:tcW w:w="3359" w:type="dxa"/>
            <w:noWrap/>
            <w:vAlign w:val="center"/>
            <w:hideMark/>
          </w:tcPr>
          <w:p w14:paraId="5C1DBA25" w14:textId="77777777" w:rsidR="00FC4E85" w:rsidRDefault="00FC4E85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7" w:type="dxa"/>
            <w:noWrap/>
            <w:vAlign w:val="center"/>
          </w:tcPr>
          <w:p w14:paraId="7B7AFA46" w14:textId="77777777" w:rsidR="007407B7" w:rsidRDefault="007407B7" w:rsidP="00740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0,16%</w:t>
            </w:r>
          </w:p>
          <w:p w14:paraId="37E051A8" w14:textId="77777777" w:rsidR="00FC4E85" w:rsidRDefault="00FC4E85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07A32" w14:paraId="6495390C" w14:textId="77777777" w:rsidTr="00E3320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vAlign w:val="center"/>
            <w:hideMark/>
          </w:tcPr>
          <w:p w14:paraId="050E97DD" w14:textId="77777777" w:rsidR="00FC4E85" w:rsidRDefault="00380FF0" w:rsidP="002C5A58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TOTAL</w:t>
            </w:r>
          </w:p>
        </w:tc>
        <w:tc>
          <w:tcPr>
            <w:tcW w:w="3359" w:type="dxa"/>
            <w:vAlign w:val="center"/>
            <w:hideMark/>
          </w:tcPr>
          <w:p w14:paraId="1BE4A306" w14:textId="77777777" w:rsidR="00FC4E85" w:rsidRDefault="007407B7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1281</w:t>
            </w:r>
          </w:p>
        </w:tc>
        <w:tc>
          <w:tcPr>
            <w:tcW w:w="1877" w:type="dxa"/>
            <w:vAlign w:val="center"/>
          </w:tcPr>
          <w:p w14:paraId="2D4ED753" w14:textId="77777777" w:rsidR="007407B7" w:rsidRPr="007407B7" w:rsidRDefault="007407B7" w:rsidP="00740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7407B7">
              <w:rPr>
                <w:b/>
                <w:color w:val="000000"/>
              </w:rPr>
              <w:t>100,00%</w:t>
            </w:r>
          </w:p>
          <w:p w14:paraId="44A76331" w14:textId="77777777" w:rsidR="00FC4E85" w:rsidRDefault="00FC4E85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BBA70ED" w14:textId="77777777" w:rsidR="00FC4E85" w:rsidRPr="00050FD7" w:rsidRDefault="00FC4E85" w:rsidP="00FC4E85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4A8B1FB2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14:paraId="564BC335" w14:textId="77777777" w:rsidR="00FC4E85" w:rsidRDefault="00FC4E85" w:rsidP="00FC4E85">
      <w:pPr>
        <w:spacing w:after="0" w:line="240" w:lineRule="auto"/>
        <w:rPr>
          <w:rFonts w:ascii="Arial" w:hAnsi="Arial" w:cs="Arial"/>
          <w:b/>
          <w:u w:val="single"/>
        </w:rPr>
      </w:pPr>
    </w:p>
    <w:p w14:paraId="338CB666" w14:textId="77777777" w:rsidR="00CD5638" w:rsidRDefault="00CD5638" w:rsidP="00FC4E85">
      <w:pPr>
        <w:spacing w:after="0" w:line="240" w:lineRule="auto"/>
        <w:rPr>
          <w:rFonts w:ascii="Arial" w:hAnsi="Arial" w:cs="Arial"/>
          <w:b/>
          <w:u w:val="single"/>
        </w:rPr>
      </w:pPr>
    </w:p>
    <w:p w14:paraId="383E4158" w14:textId="77777777" w:rsidR="00FC4E85" w:rsidRPr="001026C4" w:rsidRDefault="00FC4E85" w:rsidP="00FC4E85">
      <w:pPr>
        <w:pStyle w:val="Prrafodelista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b/>
          <w:u w:val="single"/>
        </w:rPr>
      </w:pPr>
      <w:r w:rsidRPr="001026C4">
        <w:rPr>
          <w:rFonts w:ascii="Arial" w:hAnsi="Arial" w:cs="Arial"/>
          <w:b/>
          <w:u w:val="single"/>
        </w:rPr>
        <w:t>Dirección de Urbanizaciones y Titulación</w:t>
      </w:r>
    </w:p>
    <w:p w14:paraId="475DA216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p w14:paraId="6E200D04" w14:textId="5A35613D"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Con referencia al programa de Urbanizaciones y Titulación, </w:t>
      </w:r>
      <w:r>
        <w:rPr>
          <w:rFonts w:ascii="Arial" w:hAnsi="Arial" w:cs="Arial"/>
        </w:rPr>
        <w:t>1</w:t>
      </w:r>
      <w:r w:rsidR="00676A2A">
        <w:rPr>
          <w:rFonts w:ascii="Arial" w:hAnsi="Arial" w:cs="Arial"/>
        </w:rPr>
        <w:t>.</w:t>
      </w:r>
      <w:r w:rsidR="007407B7">
        <w:rPr>
          <w:rFonts w:ascii="Arial" w:hAnsi="Arial" w:cs="Arial"/>
        </w:rPr>
        <w:t>032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</w:t>
      </w:r>
      <w:r w:rsidR="007407B7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="007407B7">
        <w:rPr>
          <w:rFonts w:ascii="Arial" w:hAnsi="Arial" w:cs="Arial"/>
        </w:rPr>
        <w:t>31</w:t>
      </w:r>
      <w:r w:rsidRPr="001079BC">
        <w:rPr>
          <w:rFonts w:ascii="Arial" w:hAnsi="Arial" w:cs="Arial"/>
        </w:rPr>
        <w:t>%) ciudadanos se acercaron a esta dependencia</w:t>
      </w:r>
      <w:r>
        <w:rPr>
          <w:rFonts w:ascii="Arial" w:hAnsi="Arial" w:cs="Arial"/>
        </w:rPr>
        <w:t xml:space="preserve">, de los cuales la gran mayoría, es decir </w:t>
      </w:r>
      <w:r w:rsidR="00452B20">
        <w:rPr>
          <w:rFonts w:ascii="Arial" w:hAnsi="Arial" w:cs="Arial"/>
        </w:rPr>
        <w:t>841</w:t>
      </w:r>
      <w:r w:rsidRPr="001079BC">
        <w:rPr>
          <w:rFonts w:ascii="Arial" w:hAnsi="Arial" w:cs="Arial"/>
        </w:rPr>
        <w:t xml:space="preserve"> (</w:t>
      </w:r>
      <w:r w:rsidR="00452B20">
        <w:rPr>
          <w:rFonts w:ascii="Arial" w:hAnsi="Arial" w:cs="Arial"/>
        </w:rPr>
        <w:t>81</w:t>
      </w:r>
      <w:r>
        <w:rPr>
          <w:rFonts w:ascii="Arial" w:hAnsi="Arial" w:cs="Arial"/>
        </w:rPr>
        <w:t>,</w:t>
      </w:r>
      <w:r w:rsidR="00452B20">
        <w:rPr>
          <w:rFonts w:ascii="Arial" w:hAnsi="Arial" w:cs="Arial"/>
        </w:rPr>
        <w:t>49</w:t>
      </w:r>
      <w:r w:rsidRPr="001079BC">
        <w:rPr>
          <w:rFonts w:ascii="Arial" w:hAnsi="Arial" w:cs="Arial"/>
        </w:rPr>
        <w:t>%)</w:t>
      </w:r>
      <w:r>
        <w:rPr>
          <w:rFonts w:ascii="Arial" w:hAnsi="Arial" w:cs="Arial"/>
        </w:rPr>
        <w:t>,</w:t>
      </w:r>
      <w:r w:rsidRPr="001079BC">
        <w:rPr>
          <w:rFonts w:ascii="Arial" w:hAnsi="Arial" w:cs="Arial"/>
        </w:rPr>
        <w:t xml:space="preserve"> solicitar</w:t>
      </w:r>
      <w:r>
        <w:rPr>
          <w:rFonts w:ascii="Arial" w:hAnsi="Arial" w:cs="Arial"/>
        </w:rPr>
        <w:t>on</w:t>
      </w:r>
      <w:r w:rsidRPr="001079BC">
        <w:rPr>
          <w:rFonts w:ascii="Arial" w:hAnsi="Arial" w:cs="Arial"/>
        </w:rPr>
        <w:t xml:space="preserve"> Información </w:t>
      </w:r>
      <w:r>
        <w:rPr>
          <w:rFonts w:ascii="Arial" w:hAnsi="Arial" w:cs="Arial"/>
        </w:rPr>
        <w:t>general sobre el proceso.</w:t>
      </w:r>
    </w:p>
    <w:p w14:paraId="5EA0494A" w14:textId="77777777" w:rsidR="00676A2A" w:rsidRDefault="00676A2A" w:rsidP="00FC4E8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3402"/>
        <w:gridCol w:w="1843"/>
      </w:tblGrid>
      <w:tr w:rsidR="00FC4E85" w14:paraId="19B78631" w14:textId="77777777" w:rsidTr="00407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6287905" w14:textId="77777777" w:rsidR="00FC4E85" w:rsidRDefault="00FC4E85" w:rsidP="00407FB8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DIRECCIÓN DE URBANIZACIONES Y TITULACIÓN</w:t>
            </w:r>
          </w:p>
        </w:tc>
      </w:tr>
      <w:tr w:rsidR="00C42A5D" w14:paraId="75964D28" w14:textId="77777777" w:rsidTr="00407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0A3C351" w14:textId="77777777" w:rsidR="00FC4E85" w:rsidRDefault="00FC4E85" w:rsidP="00407FB8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TRAMITE O SERVICIO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588D923" w14:textId="77777777" w:rsidR="00FC4E85" w:rsidRDefault="00C42A5D" w:rsidP="00407FB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CIUDADANOS ATENDIDOS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DFEDDF8" w14:textId="77777777" w:rsidR="00FC4E85" w:rsidRDefault="00FC4E85" w:rsidP="00407FB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PORCENTAJE</w:t>
            </w:r>
          </w:p>
        </w:tc>
      </w:tr>
      <w:tr w:rsidR="007C7D13" w14:paraId="188636D2" w14:textId="77777777" w:rsidTr="007C7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221ADE1C" w14:textId="77777777" w:rsidR="00FC4E85" w:rsidRPr="003074CA" w:rsidRDefault="00C42A5D" w:rsidP="007C7D13">
            <w:pPr>
              <w:spacing w:after="0" w:line="240" w:lineRule="auto"/>
              <w:rPr>
                <w:b w:val="0"/>
                <w:color w:val="000000"/>
              </w:rPr>
            </w:pPr>
            <w:r w:rsidRPr="003074CA">
              <w:rPr>
                <w:b w:val="0"/>
                <w:color w:val="000000"/>
              </w:rPr>
              <w:t>Información</w:t>
            </w:r>
            <w:r w:rsidR="003074CA" w:rsidRPr="003074CA">
              <w:rPr>
                <w:b w:val="0"/>
                <w:color w:val="000000"/>
              </w:rPr>
              <w:t xml:space="preserve"> general sobre el proceso</w:t>
            </w:r>
          </w:p>
        </w:tc>
        <w:tc>
          <w:tcPr>
            <w:tcW w:w="3402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7BC7A545" w14:textId="77777777" w:rsidR="00FC4E85" w:rsidRDefault="007407B7" w:rsidP="007C7D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841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351C44C0" w14:textId="77777777" w:rsidR="00FC4E85" w:rsidRDefault="00FC4E85" w:rsidP="007407B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7407B7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7407B7">
              <w:rPr>
                <w:color w:val="000000"/>
              </w:rPr>
              <w:t>49</w:t>
            </w:r>
            <w:r>
              <w:rPr>
                <w:color w:val="000000"/>
              </w:rPr>
              <w:t>%</w:t>
            </w:r>
          </w:p>
        </w:tc>
      </w:tr>
      <w:tr w:rsidR="00C42A5D" w14:paraId="26C02027" w14:textId="77777777" w:rsidTr="007C7D13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14:paraId="6FF1CB30" w14:textId="77777777" w:rsidR="00FC4E85" w:rsidRPr="003074CA" w:rsidRDefault="003074CA" w:rsidP="007C7D13">
            <w:pPr>
              <w:spacing w:after="0" w:line="240" w:lineRule="auto"/>
              <w:rPr>
                <w:b w:val="0"/>
                <w:color w:val="000000"/>
              </w:rPr>
            </w:pPr>
            <w:r w:rsidRPr="003074CA">
              <w:rPr>
                <w:b w:val="0"/>
                <w:color w:val="000000"/>
              </w:rPr>
              <w:t xml:space="preserve">Solicitar la </w:t>
            </w:r>
            <w:r w:rsidR="00C42A5D" w:rsidRPr="003074CA">
              <w:rPr>
                <w:b w:val="0"/>
                <w:color w:val="000000"/>
              </w:rPr>
              <w:t>escrituración</w:t>
            </w:r>
            <w:r w:rsidRPr="003074CA">
              <w:rPr>
                <w:b w:val="0"/>
                <w:color w:val="000000"/>
              </w:rPr>
              <w:t xml:space="preserve"> por primera vez</w:t>
            </w:r>
          </w:p>
        </w:tc>
        <w:tc>
          <w:tcPr>
            <w:tcW w:w="3402" w:type="dxa"/>
            <w:noWrap/>
            <w:vAlign w:val="center"/>
            <w:hideMark/>
          </w:tcPr>
          <w:p w14:paraId="2A0CD36B" w14:textId="77777777" w:rsidR="00FC4E85" w:rsidRDefault="007407B7" w:rsidP="007C7D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843" w:type="dxa"/>
            <w:noWrap/>
            <w:vAlign w:val="center"/>
            <w:hideMark/>
          </w:tcPr>
          <w:p w14:paraId="491787C3" w14:textId="77777777" w:rsidR="00FC4E85" w:rsidRDefault="007407B7" w:rsidP="007407B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FC4E85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  <w:r w:rsidR="00FC4E85">
              <w:rPr>
                <w:color w:val="000000"/>
              </w:rPr>
              <w:t>%</w:t>
            </w:r>
          </w:p>
        </w:tc>
      </w:tr>
      <w:tr w:rsidR="007C7D13" w14:paraId="46994EEE" w14:textId="77777777" w:rsidTr="007C7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14:paraId="339E499E" w14:textId="77777777" w:rsidR="00FC4E85" w:rsidRPr="003074CA" w:rsidRDefault="00C42A5D" w:rsidP="007C7D13">
            <w:pPr>
              <w:spacing w:after="0" w:line="240" w:lineRule="auto"/>
              <w:rPr>
                <w:b w:val="0"/>
                <w:color w:val="000000"/>
              </w:rPr>
            </w:pPr>
            <w:r w:rsidRPr="003074CA">
              <w:rPr>
                <w:b w:val="0"/>
                <w:color w:val="000000"/>
              </w:rPr>
              <w:t>Radicación</w:t>
            </w:r>
            <w:r w:rsidR="003074CA" w:rsidRPr="003074CA">
              <w:rPr>
                <w:b w:val="0"/>
                <w:color w:val="000000"/>
              </w:rPr>
              <w:t xml:space="preserve"> de </w:t>
            </w:r>
            <w:r w:rsidRPr="003074CA">
              <w:rPr>
                <w:b w:val="0"/>
                <w:color w:val="000000"/>
              </w:rPr>
              <w:t>cancelación</w:t>
            </w:r>
            <w:r w:rsidR="003074CA" w:rsidRPr="003074CA">
              <w:rPr>
                <w:b w:val="0"/>
                <w:color w:val="000000"/>
              </w:rPr>
              <w:t xml:space="preserve"> de hipoteca y condiciones resolutorias</w:t>
            </w:r>
          </w:p>
        </w:tc>
        <w:tc>
          <w:tcPr>
            <w:tcW w:w="3402" w:type="dxa"/>
            <w:noWrap/>
            <w:vAlign w:val="center"/>
            <w:hideMark/>
          </w:tcPr>
          <w:p w14:paraId="5A7AF6E2" w14:textId="77777777" w:rsidR="00FC4E85" w:rsidRDefault="007407B7" w:rsidP="007C7D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43" w:type="dxa"/>
            <w:noWrap/>
            <w:vAlign w:val="center"/>
            <w:hideMark/>
          </w:tcPr>
          <w:p w14:paraId="3A5E16B1" w14:textId="77777777" w:rsidR="00FC4E85" w:rsidRDefault="00FC4E85" w:rsidP="007407B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7407B7">
              <w:rPr>
                <w:color w:val="000000"/>
              </w:rPr>
              <w:t>65</w:t>
            </w:r>
            <w:r>
              <w:rPr>
                <w:color w:val="000000"/>
              </w:rPr>
              <w:t>%</w:t>
            </w:r>
          </w:p>
        </w:tc>
      </w:tr>
      <w:tr w:rsidR="00C42A5D" w14:paraId="6D5FF52F" w14:textId="77777777" w:rsidTr="002C5A58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  <w:hideMark/>
          </w:tcPr>
          <w:p w14:paraId="0275D702" w14:textId="77777777" w:rsidR="00FC4E85" w:rsidRDefault="002C5A58" w:rsidP="002C5A58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TOTAL</w:t>
            </w:r>
          </w:p>
        </w:tc>
        <w:tc>
          <w:tcPr>
            <w:tcW w:w="3402" w:type="dxa"/>
            <w:vAlign w:val="center"/>
            <w:hideMark/>
          </w:tcPr>
          <w:p w14:paraId="7DC61355" w14:textId="77777777" w:rsidR="00FC4E85" w:rsidRDefault="007407B7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1032</w:t>
            </w:r>
          </w:p>
        </w:tc>
        <w:tc>
          <w:tcPr>
            <w:tcW w:w="1843" w:type="dxa"/>
            <w:vAlign w:val="center"/>
            <w:hideMark/>
          </w:tcPr>
          <w:p w14:paraId="32E09925" w14:textId="77777777" w:rsidR="00FC4E85" w:rsidRDefault="00FC4E85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EA063F">
              <w:rPr>
                <w:b/>
                <w:bCs/>
              </w:rPr>
              <w:t>,00</w:t>
            </w:r>
            <w:r>
              <w:rPr>
                <w:b/>
                <w:bCs/>
              </w:rPr>
              <w:t>%</w:t>
            </w:r>
          </w:p>
        </w:tc>
      </w:tr>
    </w:tbl>
    <w:p w14:paraId="154DF6A0" w14:textId="77777777" w:rsidR="00FC4E85" w:rsidRPr="00050FD7" w:rsidRDefault="00FC4E85" w:rsidP="00FC4E85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6AFB16FD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14:paraId="3DADD0F6" w14:textId="77777777" w:rsidR="00FC4E85" w:rsidRDefault="00FC4E85" w:rsidP="00FC4E85">
      <w:pPr>
        <w:spacing w:after="0" w:line="240" w:lineRule="auto"/>
        <w:rPr>
          <w:rFonts w:ascii="Arial" w:hAnsi="Arial" w:cs="Arial"/>
          <w:b/>
          <w:u w:val="single"/>
        </w:rPr>
      </w:pPr>
    </w:p>
    <w:p w14:paraId="50363A51" w14:textId="77777777" w:rsidR="00A77D13" w:rsidRDefault="00A77D13" w:rsidP="00FC4E85">
      <w:pPr>
        <w:spacing w:after="0" w:line="240" w:lineRule="auto"/>
        <w:rPr>
          <w:rFonts w:ascii="Arial" w:hAnsi="Arial" w:cs="Arial"/>
          <w:b/>
          <w:u w:val="single"/>
        </w:rPr>
      </w:pPr>
    </w:p>
    <w:p w14:paraId="4B68242B" w14:textId="77777777" w:rsidR="00FC4E85" w:rsidRPr="00A250B4" w:rsidRDefault="00FC4E85" w:rsidP="00FC4E85">
      <w:pPr>
        <w:pStyle w:val="Prrafodelista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b/>
          <w:u w:val="single"/>
        </w:rPr>
      </w:pPr>
      <w:r w:rsidRPr="00A250B4">
        <w:rPr>
          <w:rFonts w:ascii="Arial" w:hAnsi="Arial" w:cs="Arial"/>
          <w:b/>
          <w:u w:val="single"/>
        </w:rPr>
        <w:t>Dirección de Mejoramiento de Vivienda</w:t>
      </w:r>
    </w:p>
    <w:p w14:paraId="7540714A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p w14:paraId="444724C2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El área misional de Mejoramiento de Vivienda atendió a </w:t>
      </w:r>
      <w:r w:rsidR="009463EE">
        <w:rPr>
          <w:rFonts w:ascii="Arial" w:hAnsi="Arial" w:cs="Arial"/>
        </w:rPr>
        <w:t>807</w:t>
      </w:r>
      <w:r w:rsidRPr="001079BC">
        <w:rPr>
          <w:rFonts w:ascii="Arial" w:hAnsi="Arial" w:cs="Arial"/>
        </w:rPr>
        <w:t xml:space="preserve"> ciudadanos, que representan el </w:t>
      </w:r>
      <w:r>
        <w:rPr>
          <w:rFonts w:ascii="Arial" w:hAnsi="Arial" w:cs="Arial"/>
        </w:rPr>
        <w:t>2</w:t>
      </w:r>
      <w:r w:rsidR="009463EE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="009463EE">
        <w:rPr>
          <w:rFonts w:ascii="Arial" w:hAnsi="Arial" w:cs="Arial"/>
        </w:rPr>
        <w:t>27</w:t>
      </w:r>
      <w:r w:rsidRPr="001079BC">
        <w:rPr>
          <w:rFonts w:ascii="Arial" w:hAnsi="Arial" w:cs="Arial"/>
        </w:rPr>
        <w:t>% del total qu</w:t>
      </w:r>
      <w:r>
        <w:rPr>
          <w:rFonts w:ascii="Arial" w:hAnsi="Arial" w:cs="Arial"/>
        </w:rPr>
        <w:t xml:space="preserve">e se acercaron a la CVP durante </w:t>
      </w:r>
      <w:r w:rsidR="009463EE">
        <w:rPr>
          <w:rFonts w:ascii="Arial" w:hAnsi="Arial" w:cs="Arial"/>
        </w:rPr>
        <w:t>septiembre</w:t>
      </w:r>
      <w:r>
        <w:rPr>
          <w:rFonts w:ascii="Arial" w:hAnsi="Arial" w:cs="Arial"/>
        </w:rPr>
        <w:t xml:space="preserve"> de 2019</w:t>
      </w:r>
      <w:r w:rsidRPr="001079B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</w:t>
      </w:r>
      <w:r w:rsidRPr="001079BC">
        <w:rPr>
          <w:rFonts w:ascii="Arial" w:hAnsi="Arial" w:cs="Arial"/>
        </w:rPr>
        <w:t xml:space="preserve">n su mayoría solicitaron </w:t>
      </w:r>
      <w:r>
        <w:rPr>
          <w:rFonts w:ascii="Arial" w:hAnsi="Arial" w:cs="Arial"/>
        </w:rPr>
        <w:t>Información general de mejoramiento de vivienda</w:t>
      </w:r>
      <w:r w:rsidRPr="001079BC">
        <w:rPr>
          <w:rFonts w:ascii="Arial" w:hAnsi="Arial" w:cs="Arial"/>
        </w:rPr>
        <w:t>; lo anterior represent</w:t>
      </w:r>
      <w:r>
        <w:rPr>
          <w:rFonts w:ascii="Arial" w:hAnsi="Arial" w:cs="Arial"/>
        </w:rPr>
        <w:t>a</w:t>
      </w:r>
      <w:r w:rsidRPr="001079BC">
        <w:rPr>
          <w:rFonts w:ascii="Arial" w:hAnsi="Arial" w:cs="Arial"/>
        </w:rPr>
        <w:t xml:space="preserve"> el </w:t>
      </w:r>
      <w:r>
        <w:rPr>
          <w:rFonts w:ascii="Arial" w:hAnsi="Arial" w:cs="Arial"/>
        </w:rPr>
        <w:t>7</w:t>
      </w:r>
      <w:r w:rsidR="009463EE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9463EE">
        <w:rPr>
          <w:rFonts w:ascii="Arial" w:hAnsi="Arial" w:cs="Arial"/>
        </w:rPr>
        <w:t>23</w:t>
      </w:r>
      <w:r w:rsidRPr="001079BC">
        <w:rPr>
          <w:rFonts w:ascii="Arial" w:hAnsi="Arial" w:cs="Arial"/>
        </w:rPr>
        <w:t>% (</w:t>
      </w:r>
      <w:r>
        <w:rPr>
          <w:rFonts w:ascii="Arial" w:hAnsi="Arial" w:cs="Arial"/>
        </w:rPr>
        <w:t>5</w:t>
      </w:r>
      <w:r w:rsidR="009463EE">
        <w:rPr>
          <w:rFonts w:ascii="Arial" w:hAnsi="Arial" w:cs="Arial"/>
        </w:rPr>
        <w:t>99</w:t>
      </w:r>
      <w:r w:rsidRPr="001079BC">
        <w:rPr>
          <w:rFonts w:ascii="Arial" w:hAnsi="Arial" w:cs="Arial"/>
        </w:rPr>
        <w:t>) de los ciudadanos que se acercaron a esta dependencia.</w:t>
      </w:r>
      <w:r>
        <w:rPr>
          <w:rFonts w:ascii="Arial" w:hAnsi="Arial" w:cs="Arial"/>
        </w:rPr>
        <w:t xml:space="preserve"> Un 2</w:t>
      </w:r>
      <w:r w:rsidR="009463EE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="009463EE">
        <w:rPr>
          <w:rFonts w:ascii="Arial" w:hAnsi="Arial" w:cs="Arial"/>
        </w:rPr>
        <w:t>77</w:t>
      </w:r>
      <w:r>
        <w:rPr>
          <w:rFonts w:ascii="Arial" w:hAnsi="Arial" w:cs="Arial"/>
        </w:rPr>
        <w:t>% de los usuarios, se acercaron a la Entidad con el fin de solicitar asistencia técnica para la obtención de licencias de construcción o actos de reconocimiento de edificaciones.</w:t>
      </w:r>
      <w:r w:rsidR="009463EE">
        <w:rPr>
          <w:rFonts w:ascii="Arial" w:hAnsi="Arial" w:cs="Arial"/>
        </w:rPr>
        <w:t xml:space="preserve"> </w:t>
      </w:r>
    </w:p>
    <w:p w14:paraId="785A107F" w14:textId="77777777" w:rsidR="00736F7B" w:rsidRDefault="00736F7B" w:rsidP="00FC4E8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464" w:type="dxa"/>
        <w:tblInd w:w="108" w:type="dxa"/>
        <w:tblLook w:val="04A0" w:firstRow="1" w:lastRow="0" w:firstColumn="1" w:lastColumn="0" w:noHBand="0" w:noVBand="1"/>
      </w:tblPr>
      <w:tblGrid>
        <w:gridCol w:w="4219"/>
        <w:gridCol w:w="3402"/>
        <w:gridCol w:w="1843"/>
      </w:tblGrid>
      <w:tr w:rsidR="00FC4E85" w14:paraId="2392F202" w14:textId="77777777" w:rsidTr="00EA0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237D92A" w14:textId="77777777" w:rsidR="00FC4E85" w:rsidRDefault="00FC4E85" w:rsidP="00802CB7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DIRECCIÓN DE MEJORAMIENTO DE VIVIENDA</w:t>
            </w:r>
          </w:p>
        </w:tc>
      </w:tr>
      <w:tr w:rsidR="00FC4E85" w14:paraId="29B7B042" w14:textId="77777777" w:rsidTr="00EA0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75AF0B8" w14:textId="77777777" w:rsidR="00FC4E85" w:rsidRDefault="00FC4E85" w:rsidP="00802CB7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TRAMITE O SERVICIO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6D1B34F" w14:textId="77777777" w:rsidR="00FC4E85" w:rsidRDefault="00FC4E85" w:rsidP="00802CB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CIUDADANOS ATENDIDOS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5D8D031" w14:textId="77777777" w:rsidR="00FC4E85" w:rsidRDefault="00FC4E85" w:rsidP="00802CB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PORCENTAJE</w:t>
            </w:r>
          </w:p>
        </w:tc>
      </w:tr>
      <w:tr w:rsidR="00FC4E85" w14:paraId="02FF33FC" w14:textId="77777777" w:rsidTr="00EA0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FFFFFF" w:themeColor="background1"/>
            </w:tcBorders>
            <w:noWrap/>
            <w:hideMark/>
          </w:tcPr>
          <w:p w14:paraId="06F1A042" w14:textId="77777777" w:rsidR="00FC4E85" w:rsidRPr="00736F7B" w:rsidRDefault="000335B7" w:rsidP="00802CB7">
            <w:pPr>
              <w:spacing w:after="0" w:line="240" w:lineRule="auto"/>
              <w:rPr>
                <w:b w:val="0"/>
                <w:color w:val="000000"/>
              </w:rPr>
            </w:pPr>
            <w:r w:rsidRPr="00736F7B">
              <w:rPr>
                <w:b w:val="0"/>
                <w:color w:val="000000"/>
              </w:rPr>
              <w:t xml:space="preserve">Información </w:t>
            </w:r>
            <w:r w:rsidR="00736F7B" w:rsidRPr="00736F7B">
              <w:rPr>
                <w:b w:val="0"/>
                <w:color w:val="000000"/>
              </w:rPr>
              <w:t>general de mejoramiento de vivienda</w:t>
            </w:r>
          </w:p>
        </w:tc>
        <w:tc>
          <w:tcPr>
            <w:tcW w:w="3402" w:type="dxa"/>
            <w:tcBorders>
              <w:top w:val="single" w:sz="4" w:space="0" w:color="FFFFFF" w:themeColor="background1"/>
            </w:tcBorders>
            <w:noWrap/>
            <w:hideMark/>
          </w:tcPr>
          <w:p w14:paraId="7E9DB401" w14:textId="77777777" w:rsidR="00FC4E85" w:rsidRDefault="00FC4E85" w:rsidP="009463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463EE">
              <w:rPr>
                <w:color w:val="000000"/>
              </w:rPr>
              <w:t>99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noWrap/>
            <w:hideMark/>
          </w:tcPr>
          <w:p w14:paraId="030F74C4" w14:textId="77777777" w:rsidR="00FC4E85" w:rsidRDefault="009463EE" w:rsidP="009463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74</w:t>
            </w:r>
            <w:r w:rsidR="00FC4E85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  <w:r w:rsidR="00FC4E85">
              <w:rPr>
                <w:color w:val="000000"/>
              </w:rPr>
              <w:t>%</w:t>
            </w:r>
          </w:p>
        </w:tc>
      </w:tr>
      <w:tr w:rsidR="00FC4E85" w14:paraId="075E6F43" w14:textId="77777777" w:rsidTr="00EA063F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14:paraId="137A078B" w14:textId="77777777" w:rsidR="00FC4E85" w:rsidRPr="00736F7B" w:rsidRDefault="000335B7" w:rsidP="00802CB7">
            <w:pPr>
              <w:spacing w:after="0" w:line="240" w:lineRule="auto"/>
              <w:rPr>
                <w:b w:val="0"/>
                <w:color w:val="000000"/>
              </w:rPr>
            </w:pPr>
            <w:r w:rsidRPr="00736F7B">
              <w:rPr>
                <w:b w:val="0"/>
                <w:color w:val="000000"/>
              </w:rPr>
              <w:t>Asistencia técnica</w:t>
            </w:r>
          </w:p>
        </w:tc>
        <w:tc>
          <w:tcPr>
            <w:tcW w:w="3402" w:type="dxa"/>
            <w:noWrap/>
            <w:hideMark/>
          </w:tcPr>
          <w:p w14:paraId="4B80246D" w14:textId="77777777" w:rsidR="00FC4E85" w:rsidRDefault="009463EE" w:rsidP="00802CB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843" w:type="dxa"/>
            <w:noWrap/>
            <w:hideMark/>
          </w:tcPr>
          <w:p w14:paraId="0E024003" w14:textId="77777777" w:rsidR="00FC4E85" w:rsidRDefault="00FC4E85" w:rsidP="009463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463E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9463EE">
              <w:rPr>
                <w:color w:val="000000"/>
              </w:rPr>
              <w:t>77</w:t>
            </w:r>
            <w:r>
              <w:rPr>
                <w:color w:val="000000"/>
              </w:rPr>
              <w:t>%</w:t>
            </w:r>
          </w:p>
        </w:tc>
      </w:tr>
      <w:tr w:rsidR="00FC4E85" w14:paraId="532BF8E1" w14:textId="77777777" w:rsidTr="00E77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  <w:hideMark/>
          </w:tcPr>
          <w:p w14:paraId="4CDF0B58" w14:textId="77777777" w:rsidR="00FC4E85" w:rsidRDefault="00E7760E" w:rsidP="002C5A58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TOTAL</w:t>
            </w:r>
          </w:p>
        </w:tc>
        <w:tc>
          <w:tcPr>
            <w:tcW w:w="3402" w:type="dxa"/>
            <w:vAlign w:val="center"/>
            <w:hideMark/>
          </w:tcPr>
          <w:p w14:paraId="23C31D0A" w14:textId="77777777" w:rsidR="00FC4E85" w:rsidRDefault="009463EE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807</w:t>
            </w:r>
          </w:p>
        </w:tc>
        <w:tc>
          <w:tcPr>
            <w:tcW w:w="1843" w:type="dxa"/>
            <w:vAlign w:val="center"/>
            <w:hideMark/>
          </w:tcPr>
          <w:p w14:paraId="0F3DDBF5" w14:textId="77777777" w:rsidR="00FC4E85" w:rsidRDefault="00FC4E85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EA063F">
              <w:rPr>
                <w:b/>
                <w:bCs/>
              </w:rPr>
              <w:t>,00</w:t>
            </w:r>
            <w:r>
              <w:rPr>
                <w:b/>
                <w:bCs/>
              </w:rPr>
              <w:t>%</w:t>
            </w:r>
          </w:p>
        </w:tc>
      </w:tr>
    </w:tbl>
    <w:p w14:paraId="58F7B664" w14:textId="77777777" w:rsidR="00FC4E85" w:rsidRPr="00050FD7" w:rsidRDefault="00FC4E85" w:rsidP="00FC4E85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321CEE53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14:paraId="1AEFB162" w14:textId="77777777" w:rsidR="00FC4E85" w:rsidRDefault="00FC4E85" w:rsidP="00EA063F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874BE29" w14:textId="77777777" w:rsidR="00EA063F" w:rsidRPr="00EA063F" w:rsidRDefault="00EA063F" w:rsidP="00EA063F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1B028A0" w14:textId="77777777" w:rsidR="00FC4E85" w:rsidRPr="000B04ED" w:rsidRDefault="00FC4E85" w:rsidP="00FC4E85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0B04ED">
        <w:rPr>
          <w:rFonts w:ascii="Arial" w:hAnsi="Arial" w:cs="Arial"/>
          <w:b/>
          <w:u w:val="single"/>
        </w:rPr>
        <w:t>Dirección de Mejoramiento de Barrios</w:t>
      </w:r>
    </w:p>
    <w:p w14:paraId="4E13542C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690F1DA" w14:textId="77777777" w:rsidR="00FC4E85" w:rsidRDefault="00FC4E85" w:rsidP="00E02831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el mes de </w:t>
      </w:r>
      <w:r w:rsidR="004B0618">
        <w:rPr>
          <w:rFonts w:ascii="Arial" w:hAnsi="Arial" w:cs="Arial"/>
        </w:rPr>
        <w:t>septiembre</w:t>
      </w:r>
      <w:r>
        <w:rPr>
          <w:rFonts w:ascii="Arial" w:hAnsi="Arial" w:cs="Arial"/>
        </w:rPr>
        <w:t xml:space="preserve"> de 2019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Pr="001079BC">
        <w:rPr>
          <w:rFonts w:ascii="Arial" w:hAnsi="Arial" w:cs="Arial"/>
        </w:rPr>
        <w:t>atendi</w:t>
      </w:r>
      <w:r w:rsidR="004B0618">
        <w:rPr>
          <w:rFonts w:ascii="Arial" w:hAnsi="Arial" w:cs="Arial"/>
        </w:rPr>
        <w:t>eron 3</w:t>
      </w:r>
      <w:r>
        <w:rPr>
          <w:rFonts w:ascii="Arial" w:hAnsi="Arial" w:cs="Arial"/>
        </w:rPr>
        <w:t xml:space="preserve"> ciudadanos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son principalmente representantes de Juntas de Acción Comunal que solicitaron información sobre el estado en que se encuentran los procesos para </w:t>
      </w:r>
      <w:r w:rsidRPr="001A0AC4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</w:t>
      </w:r>
      <w:r w:rsidRPr="00DB2BE8">
        <w:rPr>
          <w:rFonts w:ascii="Arial" w:hAnsi="Arial" w:cs="Arial"/>
        </w:rPr>
        <w:t>onstrucción de </w:t>
      </w:r>
      <w:r w:rsidRPr="006D00BA">
        <w:rPr>
          <w:rFonts w:ascii="Arial" w:hAnsi="Arial" w:cs="Arial"/>
          <w:bCs/>
        </w:rPr>
        <w:t>“Obras de intervención física a Escala Barrial”</w:t>
      </w:r>
      <w:r>
        <w:rPr>
          <w:rFonts w:ascii="Arial" w:hAnsi="Arial" w:cs="Arial"/>
          <w:b/>
          <w:bCs/>
        </w:rPr>
        <w:t xml:space="preserve"> </w:t>
      </w:r>
      <w:r w:rsidRPr="006D00BA">
        <w:rPr>
          <w:rFonts w:ascii="Arial" w:hAnsi="Arial" w:cs="Arial"/>
          <w:bCs/>
        </w:rPr>
        <w:t xml:space="preserve">- </w:t>
      </w:r>
      <w:r w:rsidRPr="00DB2BE8">
        <w:rPr>
          <w:rFonts w:ascii="Arial" w:hAnsi="Arial" w:cs="Arial"/>
        </w:rPr>
        <w:t>Parques, andenes, calles, vías peato</w:t>
      </w:r>
      <w:r>
        <w:rPr>
          <w:rFonts w:ascii="Arial" w:hAnsi="Arial" w:cs="Arial"/>
        </w:rPr>
        <w:t>nales, plazoletas</w:t>
      </w:r>
      <w:r w:rsidRPr="001A0AC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Dichos ciudadanos se remitieron a la Dirección de Mejoramiento de Barrios para ampliación de información.</w:t>
      </w:r>
    </w:p>
    <w:p w14:paraId="119B182E" w14:textId="77777777" w:rsidR="00E02831" w:rsidRDefault="00E02831" w:rsidP="00E02831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Style w:val="Tablaconcuadrcula4-nfasis11"/>
        <w:tblW w:w="9498" w:type="dxa"/>
        <w:tblInd w:w="108" w:type="dxa"/>
        <w:tblLook w:val="04A0" w:firstRow="1" w:lastRow="0" w:firstColumn="1" w:lastColumn="0" w:noHBand="0" w:noVBand="1"/>
      </w:tblPr>
      <w:tblGrid>
        <w:gridCol w:w="4111"/>
        <w:gridCol w:w="3544"/>
        <w:gridCol w:w="1843"/>
      </w:tblGrid>
      <w:tr w:rsidR="00FC4E85" w:rsidRPr="008505C9" w14:paraId="192B45FA" w14:textId="77777777" w:rsidTr="00963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5FB6A57" w14:textId="77777777" w:rsidR="00FC4E85" w:rsidRPr="008505C9" w:rsidRDefault="00FC4E85" w:rsidP="00E02831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DIRECCION DE MEJORAMIENTO DE BARRIOS</w:t>
            </w:r>
          </w:p>
        </w:tc>
      </w:tr>
      <w:tr w:rsidR="00FC4E85" w:rsidRPr="008505C9" w14:paraId="59F1A7CA" w14:textId="77777777" w:rsidTr="00963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C284E68" w14:textId="77777777" w:rsidR="00FC4E85" w:rsidRPr="008505C9" w:rsidRDefault="00FC4E85" w:rsidP="00E02831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154A34E" w14:textId="77777777" w:rsidR="00FC4E85" w:rsidRPr="008505C9" w:rsidRDefault="00FC4E85" w:rsidP="00E0283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709B1AA" w14:textId="77777777" w:rsidR="00FC4E85" w:rsidRPr="008505C9" w:rsidRDefault="00FC4E85" w:rsidP="00E0283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PORCENTAJE</w:t>
            </w:r>
          </w:p>
        </w:tc>
      </w:tr>
      <w:tr w:rsidR="00FC4E85" w:rsidRPr="008505C9" w14:paraId="7A26BE08" w14:textId="77777777" w:rsidTr="006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FFFFFF" w:themeColor="background1"/>
            </w:tcBorders>
            <w:noWrap/>
            <w:hideMark/>
          </w:tcPr>
          <w:p w14:paraId="26BED2D7" w14:textId="77777777" w:rsidR="00FC4E85" w:rsidRPr="0060029B" w:rsidRDefault="00027F6A" w:rsidP="00E02831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60029B">
              <w:rPr>
                <w:rFonts w:eastAsia="Times New Roman"/>
                <w:b w:val="0"/>
                <w:color w:val="000000"/>
                <w:lang w:eastAsia="es-CO"/>
              </w:rPr>
              <w:t>Información</w:t>
            </w:r>
            <w:r w:rsidR="0060029B" w:rsidRPr="0060029B">
              <w:rPr>
                <w:rFonts w:eastAsia="Times New Roman"/>
                <w:b w:val="0"/>
                <w:color w:val="000000"/>
                <w:lang w:eastAsia="es-CO"/>
              </w:rPr>
              <w:t xml:space="preserve"> general sobre el proceso</w:t>
            </w:r>
          </w:p>
        </w:tc>
        <w:tc>
          <w:tcPr>
            <w:tcW w:w="3544" w:type="dxa"/>
            <w:tcBorders>
              <w:top w:val="single" w:sz="4" w:space="0" w:color="FFFFFF" w:themeColor="background1"/>
            </w:tcBorders>
            <w:noWrap/>
            <w:hideMark/>
          </w:tcPr>
          <w:p w14:paraId="01AB4F83" w14:textId="77777777" w:rsidR="00FC4E85" w:rsidRPr="008505C9" w:rsidRDefault="004B0618" w:rsidP="00E028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noWrap/>
            <w:hideMark/>
          </w:tcPr>
          <w:p w14:paraId="2415FA0E" w14:textId="77777777" w:rsidR="00FC4E85" w:rsidRPr="008505C9" w:rsidRDefault="00FC4E85" w:rsidP="00E028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505C9">
              <w:rPr>
                <w:rFonts w:eastAsia="Times New Roman"/>
                <w:color w:val="000000"/>
                <w:lang w:eastAsia="es-CO"/>
              </w:rPr>
              <w:t>100,00%</w:t>
            </w:r>
          </w:p>
        </w:tc>
      </w:tr>
      <w:tr w:rsidR="00FC4E85" w:rsidRPr="008505C9" w14:paraId="4053A161" w14:textId="77777777" w:rsidTr="00E7760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3B552CAC" w14:textId="77777777" w:rsidR="00FC4E85" w:rsidRPr="008505C9" w:rsidRDefault="00E7760E" w:rsidP="00E02831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3544" w:type="dxa"/>
            <w:hideMark/>
          </w:tcPr>
          <w:p w14:paraId="4D9F8E63" w14:textId="77777777" w:rsidR="00FC4E85" w:rsidRPr="008505C9" w:rsidRDefault="004B0618" w:rsidP="00E028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>
              <w:rPr>
                <w:rFonts w:eastAsia="Times New Roman"/>
                <w:b/>
                <w:bCs/>
                <w:lang w:eastAsia="es-CO"/>
              </w:rPr>
              <w:t>3</w:t>
            </w:r>
          </w:p>
        </w:tc>
        <w:tc>
          <w:tcPr>
            <w:tcW w:w="1843" w:type="dxa"/>
            <w:hideMark/>
          </w:tcPr>
          <w:p w14:paraId="7D2645E0" w14:textId="7FEDD013" w:rsidR="00FC4E85" w:rsidRPr="008505C9" w:rsidRDefault="00FC4E85" w:rsidP="00E028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8505C9">
              <w:rPr>
                <w:rFonts w:eastAsia="Times New Roman"/>
                <w:b/>
                <w:bCs/>
                <w:lang w:eastAsia="es-CO"/>
              </w:rPr>
              <w:t>100</w:t>
            </w:r>
            <w:r w:rsidR="00F9433A">
              <w:rPr>
                <w:rFonts w:eastAsia="Times New Roman"/>
                <w:b/>
                <w:bCs/>
                <w:lang w:eastAsia="es-CO"/>
              </w:rPr>
              <w:t>,00</w:t>
            </w:r>
            <w:r w:rsidRPr="008505C9">
              <w:rPr>
                <w:rFonts w:eastAsia="Times New Roman"/>
                <w:b/>
                <w:bCs/>
                <w:lang w:eastAsia="es-CO"/>
              </w:rPr>
              <w:t>%</w:t>
            </w:r>
          </w:p>
        </w:tc>
      </w:tr>
    </w:tbl>
    <w:p w14:paraId="6362DB94" w14:textId="77777777" w:rsidR="00FC4E85" w:rsidRPr="00050FD7" w:rsidRDefault="00FC4E85" w:rsidP="00E02831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628EB8B2" w14:textId="77777777" w:rsidR="00FC4E85" w:rsidRDefault="00FC4E85" w:rsidP="00E02831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14:paraId="18506F24" w14:textId="77777777" w:rsidR="00FC4E85" w:rsidRDefault="00FC4E85" w:rsidP="00E02831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60C46FD3" w14:textId="77777777" w:rsidR="00B8105D" w:rsidRDefault="00B8105D" w:rsidP="00E02831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6B02D0E2" w14:textId="77777777" w:rsidR="00FC4E85" w:rsidRPr="00E56F1D" w:rsidRDefault="00FC4E85" w:rsidP="00E02831">
      <w:pPr>
        <w:pStyle w:val="Prrafodelista"/>
        <w:numPr>
          <w:ilvl w:val="0"/>
          <w:numId w:val="10"/>
        </w:numPr>
        <w:tabs>
          <w:tab w:val="left" w:pos="3086"/>
        </w:tabs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E56F1D">
        <w:rPr>
          <w:rFonts w:ascii="Arial" w:hAnsi="Arial" w:cs="Arial"/>
          <w:b/>
          <w:u w:val="single"/>
        </w:rPr>
        <w:t xml:space="preserve">Subdirección Financiera </w:t>
      </w:r>
      <w:r>
        <w:rPr>
          <w:rFonts w:ascii="Arial" w:hAnsi="Arial" w:cs="Arial"/>
          <w:b/>
          <w:u w:val="single"/>
        </w:rPr>
        <w:t>(</w:t>
      </w:r>
      <w:r w:rsidRPr="00E56F1D">
        <w:rPr>
          <w:rFonts w:ascii="Arial" w:hAnsi="Arial" w:cs="Arial"/>
          <w:b/>
          <w:u w:val="single"/>
        </w:rPr>
        <w:t>Cartera</w:t>
      </w:r>
      <w:r>
        <w:rPr>
          <w:rFonts w:ascii="Arial" w:hAnsi="Arial" w:cs="Arial"/>
          <w:b/>
          <w:u w:val="single"/>
        </w:rPr>
        <w:t>)</w:t>
      </w:r>
    </w:p>
    <w:p w14:paraId="66146922" w14:textId="77777777" w:rsidR="00FC4E85" w:rsidRDefault="00FC4E85" w:rsidP="00E02831">
      <w:pPr>
        <w:spacing w:after="0" w:line="240" w:lineRule="auto"/>
        <w:jc w:val="both"/>
        <w:rPr>
          <w:rFonts w:ascii="Arial" w:hAnsi="Arial" w:cs="Arial"/>
        </w:rPr>
      </w:pPr>
    </w:p>
    <w:p w14:paraId="38122115" w14:textId="1B1D68E6" w:rsidR="00FC4E85" w:rsidRDefault="00FC4E85" w:rsidP="00E02831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La Subdirección Financiera atendió a </w:t>
      </w:r>
      <w:r w:rsidR="00CC0827">
        <w:rPr>
          <w:rFonts w:ascii="Arial" w:hAnsi="Arial" w:cs="Arial"/>
        </w:rPr>
        <w:t>66</w:t>
      </w:r>
      <w:r w:rsidRPr="001079BC">
        <w:rPr>
          <w:rFonts w:ascii="Arial" w:hAnsi="Arial" w:cs="Arial"/>
        </w:rPr>
        <w:t xml:space="preserve"> ciudadanos que equivale </w:t>
      </w:r>
      <w:r>
        <w:rPr>
          <w:rFonts w:ascii="Arial" w:hAnsi="Arial" w:cs="Arial"/>
        </w:rPr>
        <w:t>a</w:t>
      </w:r>
      <w:r w:rsidRPr="001079BC">
        <w:rPr>
          <w:rFonts w:ascii="Arial" w:hAnsi="Arial" w:cs="Arial"/>
        </w:rPr>
        <w:t xml:space="preserve">l </w:t>
      </w:r>
      <w:r w:rsidR="00CC0827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="00CC0827">
        <w:rPr>
          <w:rFonts w:ascii="Arial" w:hAnsi="Arial" w:cs="Arial"/>
        </w:rPr>
        <w:t>07</w:t>
      </w:r>
      <w:r w:rsidRPr="001079BC">
        <w:rPr>
          <w:rFonts w:ascii="Arial" w:hAnsi="Arial" w:cs="Arial"/>
        </w:rPr>
        <w:t xml:space="preserve">% de los </w:t>
      </w:r>
      <w:r>
        <w:rPr>
          <w:rFonts w:ascii="Arial" w:hAnsi="Arial" w:cs="Arial"/>
        </w:rPr>
        <w:t xml:space="preserve">ciudadanos atendidos en el mes de </w:t>
      </w:r>
      <w:r w:rsidR="00CC0827">
        <w:rPr>
          <w:rFonts w:ascii="Arial" w:hAnsi="Arial" w:cs="Arial"/>
        </w:rPr>
        <w:t>septiembre</w:t>
      </w:r>
      <w:r>
        <w:rPr>
          <w:rFonts w:ascii="Arial" w:hAnsi="Arial" w:cs="Arial"/>
        </w:rPr>
        <w:t xml:space="preserve"> de 2019</w:t>
      </w:r>
      <w:r w:rsidRPr="001079BC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de </w:t>
      </w:r>
      <w:r w:rsidRPr="001079BC">
        <w:rPr>
          <w:rFonts w:ascii="Arial" w:hAnsi="Arial" w:cs="Arial"/>
        </w:rPr>
        <w:t>los cuales</w:t>
      </w:r>
      <w:r w:rsidR="00B8105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C0827">
        <w:rPr>
          <w:rFonts w:ascii="Arial" w:hAnsi="Arial" w:cs="Arial"/>
        </w:rPr>
        <w:t>16</w:t>
      </w:r>
      <w:r w:rsidR="00B8105D">
        <w:rPr>
          <w:rFonts w:ascii="Arial" w:hAnsi="Arial" w:cs="Arial"/>
        </w:rPr>
        <w:t xml:space="preserve"> (</w:t>
      </w:r>
      <w:r w:rsidR="00215786" w:rsidRPr="00D80F15">
        <w:rPr>
          <w:rFonts w:ascii="Arial" w:hAnsi="Arial" w:cs="Arial"/>
        </w:rPr>
        <w:t>24,24</w:t>
      </w:r>
      <w:r w:rsidR="00B8105D">
        <w:rPr>
          <w:rFonts w:ascii="Arial" w:hAnsi="Arial" w:cs="Arial"/>
        </w:rPr>
        <w:t>%) se acercaron a suscribir acuerdos de pago</w:t>
      </w:r>
      <w:r w:rsidR="00D80F15">
        <w:rPr>
          <w:rFonts w:ascii="Arial" w:hAnsi="Arial" w:cs="Arial"/>
        </w:rPr>
        <w:t xml:space="preserve"> </w:t>
      </w:r>
      <w:r w:rsidR="004E35FD">
        <w:rPr>
          <w:rFonts w:ascii="Arial" w:hAnsi="Arial" w:cs="Arial"/>
        </w:rPr>
        <w:t>e</w:t>
      </w:r>
      <w:r w:rsidR="00D80F15">
        <w:rPr>
          <w:rFonts w:ascii="Arial" w:hAnsi="Arial" w:cs="Arial"/>
        </w:rPr>
        <w:t xml:space="preserve"> </w:t>
      </w:r>
      <w:r w:rsidR="00C365CD">
        <w:rPr>
          <w:rFonts w:ascii="Arial" w:hAnsi="Arial" w:cs="Arial"/>
        </w:rPr>
        <w:t>Información Estado de Cuenta</w:t>
      </w:r>
      <w:r w:rsidR="00B8105D">
        <w:rPr>
          <w:rFonts w:ascii="Arial" w:hAnsi="Arial" w:cs="Arial"/>
        </w:rPr>
        <w:t>, 1</w:t>
      </w:r>
      <w:r w:rsidR="00CC0827">
        <w:rPr>
          <w:rFonts w:ascii="Arial" w:hAnsi="Arial" w:cs="Arial"/>
        </w:rPr>
        <w:t>5</w:t>
      </w:r>
      <w:r w:rsidR="00B8105D">
        <w:rPr>
          <w:rFonts w:ascii="Arial" w:hAnsi="Arial" w:cs="Arial"/>
        </w:rPr>
        <w:t xml:space="preserve"> (</w:t>
      </w:r>
      <w:r w:rsidR="00CC0827">
        <w:rPr>
          <w:rFonts w:ascii="Arial" w:hAnsi="Arial" w:cs="Arial"/>
        </w:rPr>
        <w:t>2</w:t>
      </w:r>
      <w:r w:rsidR="00C365CD">
        <w:rPr>
          <w:rFonts w:ascii="Arial" w:hAnsi="Arial" w:cs="Arial"/>
        </w:rPr>
        <w:t>2</w:t>
      </w:r>
      <w:r w:rsidR="00B8105D">
        <w:rPr>
          <w:rFonts w:ascii="Arial" w:hAnsi="Arial" w:cs="Arial"/>
        </w:rPr>
        <w:t>,7</w:t>
      </w:r>
      <w:r w:rsidR="00C365CD">
        <w:rPr>
          <w:rFonts w:ascii="Arial" w:hAnsi="Arial" w:cs="Arial"/>
        </w:rPr>
        <w:t>2</w:t>
      </w:r>
      <w:r w:rsidR="00B8105D">
        <w:rPr>
          <w:rFonts w:ascii="Arial" w:hAnsi="Arial" w:cs="Arial"/>
        </w:rPr>
        <w:t xml:space="preserve">%) se acercaron para expedición de paz y salvos, </w:t>
      </w:r>
      <w:r>
        <w:rPr>
          <w:rFonts w:ascii="Arial" w:hAnsi="Arial" w:cs="Arial"/>
        </w:rPr>
        <w:t>13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CC0827">
        <w:rPr>
          <w:rFonts w:ascii="Arial" w:hAnsi="Arial" w:cs="Arial"/>
        </w:rPr>
        <w:t>1</w:t>
      </w:r>
      <w:r w:rsidR="004E35FD">
        <w:rPr>
          <w:rFonts w:ascii="Arial" w:hAnsi="Arial" w:cs="Arial"/>
        </w:rPr>
        <w:t>9</w:t>
      </w:r>
      <w:r>
        <w:rPr>
          <w:rFonts w:ascii="Arial" w:hAnsi="Arial" w:cs="Arial"/>
        </w:rPr>
        <w:t>,</w:t>
      </w:r>
      <w:r w:rsidR="004E35FD">
        <w:rPr>
          <w:rFonts w:ascii="Arial" w:hAnsi="Arial" w:cs="Arial"/>
        </w:rPr>
        <w:t>70</w:t>
      </w:r>
      <w:r>
        <w:rPr>
          <w:rFonts w:ascii="Arial" w:hAnsi="Arial" w:cs="Arial"/>
        </w:rPr>
        <w:t>%) solicitaron información general sobre el proceso</w:t>
      </w:r>
      <w:r w:rsidR="00CC0827">
        <w:rPr>
          <w:rFonts w:ascii="Arial" w:hAnsi="Arial" w:cs="Arial"/>
        </w:rPr>
        <w:t xml:space="preserve"> y 6</w:t>
      </w:r>
      <w:r>
        <w:rPr>
          <w:rFonts w:ascii="Arial" w:hAnsi="Arial" w:cs="Arial"/>
        </w:rPr>
        <w:t xml:space="preserve"> (</w:t>
      </w:r>
      <w:r w:rsidR="004E35FD">
        <w:rPr>
          <w:rFonts w:ascii="Arial" w:hAnsi="Arial" w:cs="Arial"/>
        </w:rPr>
        <w:t>9,10</w:t>
      </w:r>
      <w:r>
        <w:rPr>
          <w:rFonts w:ascii="Arial" w:hAnsi="Arial" w:cs="Arial"/>
        </w:rPr>
        <w:t>%), para solicitar la impresión y entrega de talonarios con recibos de pago de la obligación.</w:t>
      </w:r>
    </w:p>
    <w:p w14:paraId="2A8BF367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498" w:type="dxa"/>
        <w:tblInd w:w="108" w:type="dxa"/>
        <w:tblLook w:val="04A0" w:firstRow="1" w:lastRow="0" w:firstColumn="1" w:lastColumn="0" w:noHBand="0" w:noVBand="1"/>
      </w:tblPr>
      <w:tblGrid>
        <w:gridCol w:w="4120"/>
        <w:gridCol w:w="3535"/>
        <w:gridCol w:w="1843"/>
      </w:tblGrid>
      <w:tr w:rsidR="00FC4E85" w14:paraId="2D625253" w14:textId="77777777" w:rsidTr="003B7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60588EA" w14:textId="77777777" w:rsidR="00FC4E85" w:rsidRDefault="00FC4E85" w:rsidP="000D417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SUBDIRECCIÓN FINANCIERA (Cartera)</w:t>
            </w:r>
          </w:p>
        </w:tc>
      </w:tr>
      <w:tr w:rsidR="00FC4E85" w14:paraId="2E295D47" w14:textId="77777777" w:rsidTr="003B7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FFD0169" w14:textId="77777777" w:rsidR="00FC4E85" w:rsidRDefault="00FC4E85" w:rsidP="000D417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TRAMITE O SERVICIO</w:t>
            </w:r>
          </w:p>
        </w:tc>
        <w:tc>
          <w:tcPr>
            <w:tcW w:w="3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82BE905" w14:textId="77777777" w:rsidR="00FC4E85" w:rsidRDefault="00FC4E85" w:rsidP="000D417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CIUDADANOS ATENDIDOS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797306B" w14:textId="77777777" w:rsidR="00FC4E85" w:rsidRDefault="00FC4E85" w:rsidP="000D417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PORCENTAJE</w:t>
            </w:r>
          </w:p>
        </w:tc>
      </w:tr>
      <w:tr w:rsidR="00FC4E85" w14:paraId="58AEAE50" w14:textId="77777777" w:rsidTr="000D4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03EC2F8F" w14:textId="77777777" w:rsidR="00FC4E85" w:rsidRPr="00414BA1" w:rsidRDefault="00DC52A1" w:rsidP="000D4179">
            <w:pPr>
              <w:spacing w:after="0" w:line="240" w:lineRule="auto"/>
              <w:rPr>
                <w:rFonts w:asciiTheme="minorHAnsi" w:hAnsiTheme="minorHAnsi" w:cstheme="minorHAnsi"/>
                <w:b w:val="0"/>
                <w:color w:val="000000"/>
              </w:rPr>
            </w:pPr>
            <w:r w:rsidRPr="00414BA1">
              <w:rPr>
                <w:rFonts w:asciiTheme="minorHAnsi" w:hAnsiTheme="minorHAnsi" w:cstheme="minorHAnsi"/>
                <w:b w:val="0"/>
                <w:color w:val="000000"/>
              </w:rPr>
              <w:t>Acuerdo de pago</w:t>
            </w:r>
          </w:p>
        </w:tc>
        <w:tc>
          <w:tcPr>
            <w:tcW w:w="3535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16E92E5C" w14:textId="77777777" w:rsidR="00FC4E85" w:rsidRPr="00414BA1" w:rsidRDefault="004B0618" w:rsidP="000D417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414BA1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0AA435C0" w14:textId="61F5DB17" w:rsidR="00FC4E85" w:rsidRPr="00414BA1" w:rsidRDefault="00753EE7" w:rsidP="000D417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414BA1">
              <w:rPr>
                <w:rFonts w:asciiTheme="minorHAnsi" w:hAnsiTheme="minorHAnsi" w:cstheme="minorHAnsi"/>
                <w:color w:val="000000"/>
              </w:rPr>
              <w:t>24,24</w:t>
            </w:r>
            <w:r w:rsidR="00FC4E85" w:rsidRPr="00414BA1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FC4E85" w14:paraId="0A41EA62" w14:textId="77777777" w:rsidTr="000D417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noWrap/>
            <w:vAlign w:val="center"/>
            <w:hideMark/>
          </w:tcPr>
          <w:p w14:paraId="4062094E" w14:textId="77777777" w:rsidR="00FC4E85" w:rsidRPr="00414BA1" w:rsidRDefault="00DC52A1" w:rsidP="000D4179">
            <w:pPr>
              <w:spacing w:after="0" w:line="240" w:lineRule="auto"/>
              <w:rPr>
                <w:rFonts w:asciiTheme="minorHAnsi" w:hAnsiTheme="minorHAnsi" w:cstheme="minorHAnsi"/>
                <w:b w:val="0"/>
                <w:color w:val="000000"/>
              </w:rPr>
            </w:pPr>
            <w:r w:rsidRPr="00414BA1">
              <w:rPr>
                <w:rFonts w:asciiTheme="minorHAnsi" w:hAnsiTheme="minorHAnsi" w:cstheme="minorHAnsi"/>
                <w:b w:val="0"/>
                <w:color w:val="000000"/>
              </w:rPr>
              <w:t>Expedición de paz y salvos</w:t>
            </w:r>
          </w:p>
        </w:tc>
        <w:tc>
          <w:tcPr>
            <w:tcW w:w="3535" w:type="dxa"/>
            <w:noWrap/>
            <w:vAlign w:val="center"/>
            <w:hideMark/>
          </w:tcPr>
          <w:p w14:paraId="0C0BD1CD" w14:textId="77777777" w:rsidR="00FC4E85" w:rsidRPr="00414BA1" w:rsidRDefault="004B0618" w:rsidP="000D417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414BA1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1843" w:type="dxa"/>
            <w:noWrap/>
            <w:vAlign w:val="center"/>
            <w:hideMark/>
          </w:tcPr>
          <w:p w14:paraId="3C7C5E7E" w14:textId="6A65D90E" w:rsidR="00FC4E85" w:rsidRPr="00414BA1" w:rsidRDefault="00753EE7" w:rsidP="000D417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414BA1">
              <w:rPr>
                <w:rFonts w:asciiTheme="minorHAnsi" w:hAnsiTheme="minorHAnsi" w:cstheme="minorHAnsi"/>
                <w:color w:val="000000"/>
              </w:rPr>
              <w:t>22,7</w:t>
            </w:r>
            <w:r w:rsidR="00ED7183" w:rsidRPr="00414BA1">
              <w:rPr>
                <w:rFonts w:asciiTheme="minorHAnsi" w:hAnsiTheme="minorHAnsi" w:cstheme="minorHAnsi"/>
                <w:color w:val="000000"/>
              </w:rPr>
              <w:t>2</w:t>
            </w:r>
            <w:r w:rsidR="00FC4E85" w:rsidRPr="00414BA1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FC4E85" w14:paraId="4386190C" w14:textId="77777777" w:rsidTr="000D4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noWrap/>
            <w:vAlign w:val="center"/>
            <w:hideMark/>
          </w:tcPr>
          <w:p w14:paraId="1DC96694" w14:textId="77777777" w:rsidR="00FC4E85" w:rsidRPr="00414BA1" w:rsidRDefault="00DC52A1" w:rsidP="000D4179">
            <w:pPr>
              <w:spacing w:after="0" w:line="240" w:lineRule="auto"/>
              <w:rPr>
                <w:rFonts w:asciiTheme="minorHAnsi" w:hAnsiTheme="minorHAnsi" w:cstheme="minorHAnsi"/>
                <w:b w:val="0"/>
                <w:color w:val="000000"/>
              </w:rPr>
            </w:pPr>
            <w:r w:rsidRPr="00414BA1">
              <w:rPr>
                <w:rFonts w:asciiTheme="minorHAnsi" w:hAnsiTheme="minorHAnsi" w:cstheme="minorHAnsi"/>
                <w:b w:val="0"/>
                <w:color w:val="000000"/>
              </w:rPr>
              <w:t>Información estado de cuenta</w:t>
            </w:r>
          </w:p>
        </w:tc>
        <w:tc>
          <w:tcPr>
            <w:tcW w:w="3535" w:type="dxa"/>
            <w:noWrap/>
            <w:vAlign w:val="center"/>
            <w:hideMark/>
          </w:tcPr>
          <w:p w14:paraId="5270FF5A" w14:textId="77777777" w:rsidR="00FC4E85" w:rsidRPr="00414BA1" w:rsidRDefault="004B0618" w:rsidP="000D417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414BA1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1843" w:type="dxa"/>
            <w:noWrap/>
            <w:vAlign w:val="center"/>
            <w:hideMark/>
          </w:tcPr>
          <w:p w14:paraId="5400F364" w14:textId="5945B818" w:rsidR="00FC4E85" w:rsidRPr="00414BA1" w:rsidRDefault="00753EE7" w:rsidP="000D417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414BA1">
              <w:rPr>
                <w:rFonts w:asciiTheme="minorHAnsi" w:hAnsiTheme="minorHAnsi" w:cstheme="minorHAnsi"/>
                <w:color w:val="000000"/>
              </w:rPr>
              <w:t>24,24</w:t>
            </w:r>
            <w:r w:rsidR="00FC4E85" w:rsidRPr="00414BA1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FC4E85" w14:paraId="0CE02683" w14:textId="77777777" w:rsidTr="000D417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noWrap/>
            <w:vAlign w:val="center"/>
            <w:hideMark/>
          </w:tcPr>
          <w:p w14:paraId="0A7BB369" w14:textId="77777777" w:rsidR="00FC4E85" w:rsidRPr="00414BA1" w:rsidRDefault="00DC52A1" w:rsidP="000D4179">
            <w:pPr>
              <w:spacing w:after="0" w:line="240" w:lineRule="auto"/>
              <w:rPr>
                <w:rFonts w:asciiTheme="minorHAnsi" w:hAnsiTheme="minorHAnsi" w:cstheme="minorHAnsi"/>
                <w:b w:val="0"/>
                <w:color w:val="000000"/>
              </w:rPr>
            </w:pPr>
            <w:r w:rsidRPr="00414BA1">
              <w:rPr>
                <w:rFonts w:asciiTheme="minorHAnsi" w:hAnsiTheme="minorHAnsi" w:cstheme="minorHAnsi"/>
                <w:b w:val="0"/>
                <w:color w:val="000000"/>
              </w:rPr>
              <w:t>Información general sobre el proceso</w:t>
            </w:r>
          </w:p>
        </w:tc>
        <w:tc>
          <w:tcPr>
            <w:tcW w:w="3535" w:type="dxa"/>
            <w:noWrap/>
            <w:vAlign w:val="center"/>
            <w:hideMark/>
          </w:tcPr>
          <w:p w14:paraId="469E72A6" w14:textId="77777777" w:rsidR="00FC4E85" w:rsidRPr="00414BA1" w:rsidRDefault="004B0618" w:rsidP="000D417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414BA1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843" w:type="dxa"/>
            <w:noWrap/>
            <w:vAlign w:val="center"/>
            <w:hideMark/>
          </w:tcPr>
          <w:p w14:paraId="47A12A4A" w14:textId="4069D206" w:rsidR="00FC4E85" w:rsidRPr="00414BA1" w:rsidRDefault="00FC4E85" w:rsidP="000D417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414BA1">
              <w:rPr>
                <w:rFonts w:asciiTheme="minorHAnsi" w:hAnsiTheme="minorHAnsi" w:cstheme="minorHAnsi"/>
                <w:color w:val="000000"/>
              </w:rPr>
              <w:t>1</w:t>
            </w:r>
            <w:r w:rsidR="00753EE7" w:rsidRPr="00414BA1">
              <w:rPr>
                <w:rFonts w:asciiTheme="minorHAnsi" w:hAnsiTheme="minorHAnsi" w:cstheme="minorHAnsi"/>
                <w:color w:val="000000"/>
              </w:rPr>
              <w:t>9</w:t>
            </w:r>
            <w:r w:rsidRPr="00414BA1">
              <w:rPr>
                <w:rFonts w:asciiTheme="minorHAnsi" w:hAnsiTheme="minorHAnsi" w:cstheme="minorHAnsi"/>
                <w:color w:val="000000"/>
              </w:rPr>
              <w:t>,</w:t>
            </w:r>
            <w:r w:rsidR="00753EE7" w:rsidRPr="00414BA1">
              <w:rPr>
                <w:rFonts w:asciiTheme="minorHAnsi" w:hAnsiTheme="minorHAnsi" w:cstheme="minorHAnsi"/>
                <w:color w:val="000000"/>
              </w:rPr>
              <w:t>70</w:t>
            </w:r>
            <w:r w:rsidRPr="00414BA1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FC4E85" w14:paraId="2AFD0597" w14:textId="77777777" w:rsidTr="000D4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noWrap/>
            <w:vAlign w:val="center"/>
            <w:hideMark/>
          </w:tcPr>
          <w:p w14:paraId="0E3229F6" w14:textId="77777777" w:rsidR="00FC4E85" w:rsidRPr="00414BA1" w:rsidRDefault="00DC52A1" w:rsidP="000D4179">
            <w:pPr>
              <w:spacing w:after="0" w:line="240" w:lineRule="auto"/>
              <w:rPr>
                <w:rFonts w:asciiTheme="minorHAnsi" w:hAnsiTheme="minorHAnsi" w:cstheme="minorHAnsi"/>
                <w:b w:val="0"/>
                <w:color w:val="000000"/>
              </w:rPr>
            </w:pPr>
            <w:r w:rsidRPr="00414BA1">
              <w:rPr>
                <w:rFonts w:asciiTheme="minorHAnsi" w:hAnsiTheme="minorHAnsi" w:cstheme="minorHAnsi"/>
                <w:b w:val="0"/>
                <w:color w:val="000000"/>
              </w:rPr>
              <w:t xml:space="preserve">Impresión </w:t>
            </w:r>
            <w:r w:rsidR="0075607E" w:rsidRPr="00414BA1">
              <w:rPr>
                <w:rFonts w:asciiTheme="minorHAnsi" w:hAnsiTheme="minorHAnsi" w:cstheme="minorHAnsi"/>
                <w:b w:val="0"/>
                <w:color w:val="000000"/>
              </w:rPr>
              <w:t xml:space="preserve">de </w:t>
            </w:r>
            <w:r w:rsidRPr="00414BA1">
              <w:rPr>
                <w:rFonts w:asciiTheme="minorHAnsi" w:hAnsiTheme="minorHAnsi" w:cstheme="minorHAnsi"/>
                <w:b w:val="0"/>
                <w:color w:val="000000"/>
              </w:rPr>
              <w:t>talonario</w:t>
            </w:r>
          </w:p>
        </w:tc>
        <w:tc>
          <w:tcPr>
            <w:tcW w:w="3535" w:type="dxa"/>
            <w:noWrap/>
            <w:vAlign w:val="center"/>
            <w:hideMark/>
          </w:tcPr>
          <w:p w14:paraId="358088F3" w14:textId="77777777" w:rsidR="00FC4E85" w:rsidRPr="00414BA1" w:rsidRDefault="004B0618" w:rsidP="000D417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414BA1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843" w:type="dxa"/>
            <w:noWrap/>
            <w:vAlign w:val="center"/>
            <w:hideMark/>
          </w:tcPr>
          <w:p w14:paraId="1F12B02A" w14:textId="0E1BD67E" w:rsidR="00FC4E85" w:rsidRPr="00414BA1" w:rsidRDefault="00753EE7" w:rsidP="000D417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414BA1">
              <w:rPr>
                <w:rFonts w:asciiTheme="minorHAnsi" w:hAnsiTheme="minorHAnsi" w:cstheme="minorHAnsi"/>
                <w:color w:val="000000"/>
              </w:rPr>
              <w:t>9</w:t>
            </w:r>
            <w:r w:rsidR="00FC4E85" w:rsidRPr="00414BA1">
              <w:rPr>
                <w:rFonts w:asciiTheme="minorHAnsi" w:hAnsiTheme="minorHAnsi" w:cstheme="minorHAnsi"/>
                <w:color w:val="000000"/>
              </w:rPr>
              <w:t>,1</w:t>
            </w:r>
            <w:r w:rsidRPr="00414BA1">
              <w:rPr>
                <w:rFonts w:asciiTheme="minorHAnsi" w:hAnsiTheme="minorHAnsi" w:cstheme="minorHAnsi"/>
                <w:color w:val="000000"/>
              </w:rPr>
              <w:t>0</w:t>
            </w:r>
            <w:r w:rsidR="00FC4E85" w:rsidRPr="00414BA1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FC4E85" w14:paraId="380171CD" w14:textId="77777777" w:rsidTr="000D417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vAlign w:val="center"/>
            <w:hideMark/>
          </w:tcPr>
          <w:p w14:paraId="47CC2C86" w14:textId="77777777" w:rsidR="00FC4E85" w:rsidRPr="00414BA1" w:rsidRDefault="00DC52A1" w:rsidP="000D4179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414BA1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3535" w:type="dxa"/>
            <w:vAlign w:val="center"/>
            <w:hideMark/>
          </w:tcPr>
          <w:p w14:paraId="7ED4F322" w14:textId="77777777" w:rsidR="00FC4E85" w:rsidRPr="00414BA1" w:rsidRDefault="004B0618" w:rsidP="000D417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14BA1">
              <w:rPr>
                <w:rFonts w:asciiTheme="minorHAnsi" w:hAnsiTheme="minorHAnsi" w:cstheme="minorHAnsi"/>
                <w:b/>
                <w:bCs/>
              </w:rPr>
              <w:t>66</w:t>
            </w:r>
          </w:p>
        </w:tc>
        <w:tc>
          <w:tcPr>
            <w:tcW w:w="1843" w:type="dxa"/>
            <w:vAlign w:val="center"/>
            <w:hideMark/>
          </w:tcPr>
          <w:p w14:paraId="4A80531E" w14:textId="77777777" w:rsidR="00FC4E85" w:rsidRPr="00414BA1" w:rsidRDefault="00FC4E85" w:rsidP="000D417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14BA1">
              <w:rPr>
                <w:rFonts w:asciiTheme="minorHAnsi" w:hAnsiTheme="minorHAnsi" w:cstheme="minorHAnsi"/>
                <w:b/>
                <w:bCs/>
              </w:rPr>
              <w:t>100%</w:t>
            </w:r>
          </w:p>
        </w:tc>
      </w:tr>
    </w:tbl>
    <w:p w14:paraId="2A779F63" w14:textId="77777777" w:rsidR="00FC4E85" w:rsidRPr="00050FD7" w:rsidRDefault="00FC4E85" w:rsidP="00FC4E85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4A2A719B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14:paraId="59551C93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136285E" w14:textId="7240A68B" w:rsidR="00FC4E85" w:rsidRPr="00EB70CE" w:rsidRDefault="00FC4E85" w:rsidP="00FC4E8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Dirección </w:t>
      </w:r>
      <w:r w:rsidR="004B0618">
        <w:rPr>
          <w:rFonts w:ascii="Arial" w:hAnsi="Arial" w:cs="Arial"/>
        </w:rPr>
        <w:t>Jurídica y</w:t>
      </w:r>
      <w:r>
        <w:rPr>
          <w:rFonts w:ascii="Arial" w:hAnsi="Arial" w:cs="Arial"/>
        </w:rPr>
        <w:t xml:space="preserve"> la Subdirección Administrativa atendieron a </w:t>
      </w:r>
      <w:r w:rsidR="004B061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1F2245">
        <w:rPr>
          <w:rFonts w:ascii="Arial" w:hAnsi="Arial" w:cs="Arial"/>
        </w:rPr>
        <w:t>ciudadanos que</w:t>
      </w:r>
      <w:r w:rsidRPr="00DF7DE5">
        <w:rPr>
          <w:rFonts w:ascii="Arial" w:hAnsi="Arial" w:cs="Arial"/>
        </w:rPr>
        <w:t xml:space="preserve"> </w:t>
      </w:r>
      <w:r w:rsidR="004B0618" w:rsidRPr="00DF7DE5">
        <w:rPr>
          <w:rFonts w:ascii="Arial" w:hAnsi="Arial" w:cs="Arial"/>
        </w:rPr>
        <w:t>equivalen</w:t>
      </w:r>
      <w:r w:rsidRPr="00DF7DE5">
        <w:rPr>
          <w:rFonts w:ascii="Arial" w:hAnsi="Arial" w:cs="Arial"/>
        </w:rPr>
        <w:t xml:space="preserve"> al 0,</w:t>
      </w:r>
      <w:r>
        <w:rPr>
          <w:rFonts w:ascii="Arial" w:hAnsi="Arial" w:cs="Arial"/>
        </w:rPr>
        <w:t>1</w:t>
      </w:r>
      <w:r w:rsidR="008336F2">
        <w:rPr>
          <w:rFonts w:ascii="Arial" w:hAnsi="Arial" w:cs="Arial"/>
        </w:rPr>
        <w:t>6</w:t>
      </w:r>
      <w:r w:rsidRPr="00DF7DE5">
        <w:rPr>
          <w:rFonts w:ascii="Arial" w:hAnsi="Arial" w:cs="Arial"/>
        </w:rPr>
        <w:t>% del total de la población</w:t>
      </w:r>
      <w:r w:rsidR="004B0618">
        <w:rPr>
          <w:rFonts w:ascii="Arial" w:hAnsi="Arial" w:cs="Arial"/>
        </w:rPr>
        <w:t>, todos indagaron</w:t>
      </w:r>
      <w:r>
        <w:rPr>
          <w:rFonts w:ascii="Arial" w:hAnsi="Arial" w:cs="Arial"/>
        </w:rPr>
        <w:t xml:space="preserve"> sobre información de carácter general.</w:t>
      </w:r>
      <w:r w:rsidRPr="00DF7DE5">
        <w:rPr>
          <w:rFonts w:ascii="Arial" w:hAnsi="Arial" w:cs="Arial"/>
        </w:rPr>
        <w:t xml:space="preserve"> </w:t>
      </w:r>
    </w:p>
    <w:p w14:paraId="05B76662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67DF74F9" w14:textId="77777777" w:rsidR="001B123F" w:rsidRDefault="001B123F" w:rsidP="00FC4E8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2975737" w14:textId="77777777" w:rsidR="00FC4E85" w:rsidRPr="003740CE" w:rsidRDefault="00FC4E85" w:rsidP="00FC4E85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u w:val="single"/>
        </w:rPr>
      </w:pPr>
      <w:r w:rsidRPr="003740CE">
        <w:rPr>
          <w:rFonts w:ascii="Arial" w:hAnsi="Arial" w:cs="Arial"/>
          <w:b/>
          <w:u w:val="single"/>
        </w:rPr>
        <w:t>ATENCIÓN PRIORITARIA</w:t>
      </w:r>
    </w:p>
    <w:p w14:paraId="02F99BE5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</w:rPr>
      </w:pPr>
    </w:p>
    <w:p w14:paraId="3CDE5B8A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De los </w:t>
      </w:r>
      <w:r>
        <w:rPr>
          <w:rFonts w:ascii="Arial" w:hAnsi="Arial" w:cs="Arial"/>
        </w:rPr>
        <w:t>3.</w:t>
      </w:r>
      <w:r w:rsidR="009D2C89">
        <w:rPr>
          <w:rFonts w:ascii="Arial" w:hAnsi="Arial" w:cs="Arial"/>
        </w:rPr>
        <w:t>194</w:t>
      </w:r>
      <w:r w:rsidRPr="001079BC">
        <w:rPr>
          <w:rFonts w:ascii="Arial" w:hAnsi="Arial" w:cs="Arial"/>
        </w:rPr>
        <w:t xml:space="preserve"> ciudadanos que se acercaron a la entidad, </w:t>
      </w:r>
      <w:r w:rsidR="009D2C89">
        <w:rPr>
          <w:rFonts w:ascii="Arial" w:hAnsi="Arial" w:cs="Arial"/>
        </w:rPr>
        <w:t>143</w:t>
      </w:r>
      <w:r>
        <w:rPr>
          <w:rFonts w:ascii="Arial" w:hAnsi="Arial" w:cs="Arial"/>
        </w:rPr>
        <w:t>,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fueron atendidos de manera</w:t>
      </w:r>
      <w:r w:rsidRPr="001079BC">
        <w:rPr>
          <w:rFonts w:ascii="Arial" w:hAnsi="Arial" w:cs="Arial"/>
        </w:rPr>
        <w:t xml:space="preserve"> prioritaria. </w:t>
      </w:r>
      <w:r>
        <w:rPr>
          <w:rFonts w:ascii="Arial" w:hAnsi="Arial" w:cs="Arial"/>
        </w:rPr>
        <w:t>L</w:t>
      </w:r>
      <w:r w:rsidRPr="001079BC">
        <w:rPr>
          <w:rFonts w:ascii="Arial" w:hAnsi="Arial" w:cs="Arial"/>
        </w:rPr>
        <w:t xml:space="preserve">a Dirección de Reasentamientos Humanos </w:t>
      </w:r>
      <w:r>
        <w:rPr>
          <w:rFonts w:ascii="Arial" w:hAnsi="Arial" w:cs="Arial"/>
        </w:rPr>
        <w:t xml:space="preserve">es </w:t>
      </w:r>
      <w:r w:rsidRPr="001079BC">
        <w:rPr>
          <w:rFonts w:ascii="Arial" w:hAnsi="Arial" w:cs="Arial"/>
        </w:rPr>
        <w:t xml:space="preserve">el área con mayor demanda, con un </w:t>
      </w:r>
      <w:r w:rsidR="009D2C89">
        <w:rPr>
          <w:rFonts w:ascii="Arial" w:hAnsi="Arial" w:cs="Arial"/>
        </w:rPr>
        <w:t>69</w:t>
      </w:r>
      <w:r>
        <w:rPr>
          <w:rFonts w:ascii="Arial" w:hAnsi="Arial" w:cs="Arial"/>
        </w:rPr>
        <w:t>,</w:t>
      </w:r>
      <w:r w:rsidR="009D2C89">
        <w:rPr>
          <w:rFonts w:ascii="Arial" w:hAnsi="Arial" w:cs="Arial"/>
        </w:rPr>
        <w:t>23</w:t>
      </w:r>
      <w:r w:rsidRPr="001079BC">
        <w:rPr>
          <w:rFonts w:ascii="Arial" w:hAnsi="Arial" w:cs="Arial"/>
        </w:rPr>
        <w:t>% (</w:t>
      </w:r>
      <w:r w:rsidR="009D2C89">
        <w:rPr>
          <w:rFonts w:ascii="Arial" w:hAnsi="Arial" w:cs="Arial"/>
        </w:rPr>
        <w:t>99</w:t>
      </w:r>
      <w:r w:rsidRPr="001079B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de los</w:t>
      </w:r>
      <w:r w:rsidRPr="001079BC">
        <w:rPr>
          <w:rFonts w:ascii="Arial" w:hAnsi="Arial" w:cs="Arial"/>
        </w:rPr>
        <w:t xml:space="preserve"> ciudadanos</w:t>
      </w:r>
      <w:r>
        <w:rPr>
          <w:rFonts w:ascii="Arial" w:hAnsi="Arial" w:cs="Arial"/>
        </w:rPr>
        <w:t xml:space="preserve">. La prioridad son personas adultas mayores y </w:t>
      </w:r>
      <w:r>
        <w:rPr>
          <w:rFonts w:ascii="Arial" w:hAnsi="Arial" w:cs="Arial"/>
          <w:lang w:val="es-ES_tradnl"/>
        </w:rPr>
        <w:t>mujeres lactantes</w:t>
      </w:r>
      <w:r>
        <w:rPr>
          <w:rFonts w:ascii="Arial" w:hAnsi="Arial" w:cs="Arial"/>
        </w:rPr>
        <w:t xml:space="preserve">, entre otros. </w:t>
      </w:r>
    </w:p>
    <w:p w14:paraId="396A8236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498" w:type="dxa"/>
        <w:tblInd w:w="108" w:type="dxa"/>
        <w:tblLook w:val="04A0" w:firstRow="1" w:lastRow="0" w:firstColumn="1" w:lastColumn="0" w:noHBand="0" w:noVBand="1"/>
      </w:tblPr>
      <w:tblGrid>
        <w:gridCol w:w="4111"/>
        <w:gridCol w:w="3402"/>
        <w:gridCol w:w="1985"/>
      </w:tblGrid>
      <w:tr w:rsidR="00FC4E85" w14:paraId="43AC6712" w14:textId="77777777" w:rsidTr="003B7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61235F2" w14:textId="77777777" w:rsidR="00FC4E85" w:rsidRDefault="00FC4E85" w:rsidP="006517C6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ATENCIÓN PRIORITARIA</w:t>
            </w:r>
          </w:p>
        </w:tc>
      </w:tr>
      <w:tr w:rsidR="00FC4E85" w14:paraId="6A8AB339" w14:textId="77777777" w:rsidTr="003B7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7FAF56E" w14:textId="77777777" w:rsidR="00FC4E85" w:rsidRDefault="00FC4E85" w:rsidP="006517C6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DEPENDENCIA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1A65947" w14:textId="77777777" w:rsidR="00FC4E85" w:rsidRDefault="00FC4E85" w:rsidP="006517C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CIUDADANOS ATENDIDOS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5BBA3E0" w14:textId="77777777" w:rsidR="00FC4E85" w:rsidRDefault="00FC4E85" w:rsidP="006517C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PORCENTAJE</w:t>
            </w:r>
          </w:p>
        </w:tc>
      </w:tr>
      <w:tr w:rsidR="00FC4E85" w14:paraId="4661C663" w14:textId="77777777" w:rsidTr="009D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FFFFFF" w:themeColor="background1"/>
            </w:tcBorders>
            <w:noWrap/>
            <w:hideMark/>
          </w:tcPr>
          <w:p w14:paraId="660A77C2" w14:textId="77777777" w:rsidR="00FC4E85" w:rsidRPr="00B223E9" w:rsidRDefault="009D2C89" w:rsidP="006517C6">
            <w:pPr>
              <w:spacing w:after="0" w:line="240" w:lineRule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Dirección de Reasentamientos H</w:t>
            </w:r>
            <w:r w:rsidR="006517C6" w:rsidRPr="00B223E9">
              <w:rPr>
                <w:b w:val="0"/>
                <w:color w:val="000000"/>
              </w:rPr>
              <w:t>umanos</w:t>
            </w:r>
          </w:p>
        </w:tc>
        <w:tc>
          <w:tcPr>
            <w:tcW w:w="3402" w:type="dxa"/>
            <w:tcBorders>
              <w:top w:val="single" w:sz="4" w:space="0" w:color="FFFFFF" w:themeColor="background1"/>
            </w:tcBorders>
            <w:noWrap/>
            <w:hideMark/>
          </w:tcPr>
          <w:p w14:paraId="3AA13674" w14:textId="77777777" w:rsidR="00FC4E85" w:rsidRDefault="009D2C89" w:rsidP="006517C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985" w:type="dxa"/>
            <w:tcBorders>
              <w:top w:val="single" w:sz="4" w:space="0" w:color="FFFFFF" w:themeColor="background1"/>
            </w:tcBorders>
            <w:noWrap/>
          </w:tcPr>
          <w:p w14:paraId="55B2C5F9" w14:textId="0943E4EF" w:rsidR="00FC4E85" w:rsidRDefault="009D2C89" w:rsidP="009D2C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69,2</w:t>
            </w:r>
            <w:r w:rsidR="000A1EAA">
              <w:rPr>
                <w:color w:val="000000"/>
              </w:rPr>
              <w:t>2</w:t>
            </w:r>
            <w:r>
              <w:rPr>
                <w:color w:val="000000"/>
              </w:rPr>
              <w:t>%</w:t>
            </w:r>
          </w:p>
        </w:tc>
      </w:tr>
      <w:tr w:rsidR="00FC4E85" w14:paraId="6CF64E5B" w14:textId="77777777" w:rsidTr="009D2C8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049124" w14:textId="77777777" w:rsidR="00FC4E85" w:rsidRPr="00B223E9" w:rsidRDefault="009D2C89" w:rsidP="006517C6">
            <w:pPr>
              <w:spacing w:after="0" w:line="240" w:lineRule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Dirección de M</w:t>
            </w:r>
            <w:r w:rsidR="006517C6" w:rsidRPr="00B223E9">
              <w:rPr>
                <w:b w:val="0"/>
                <w:color w:val="000000"/>
              </w:rPr>
              <w:t>ejoramiento d</w:t>
            </w:r>
            <w:r>
              <w:rPr>
                <w:b w:val="0"/>
                <w:color w:val="000000"/>
              </w:rPr>
              <w:t>e V</w:t>
            </w:r>
            <w:r w:rsidR="00B223E9" w:rsidRPr="00B223E9">
              <w:rPr>
                <w:b w:val="0"/>
                <w:color w:val="000000"/>
              </w:rPr>
              <w:t>ivienda</w:t>
            </w:r>
          </w:p>
        </w:tc>
        <w:tc>
          <w:tcPr>
            <w:tcW w:w="3402" w:type="dxa"/>
            <w:noWrap/>
            <w:hideMark/>
          </w:tcPr>
          <w:p w14:paraId="3A40EF5D" w14:textId="77777777" w:rsidR="00FC4E85" w:rsidRDefault="009D2C89" w:rsidP="006517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985" w:type="dxa"/>
            <w:noWrap/>
          </w:tcPr>
          <w:p w14:paraId="682BA218" w14:textId="77777777" w:rsidR="00FC4E85" w:rsidRDefault="009D2C89" w:rsidP="009D2C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14,69%</w:t>
            </w:r>
          </w:p>
        </w:tc>
      </w:tr>
      <w:tr w:rsidR="00FC4E85" w14:paraId="6B375D3B" w14:textId="77777777" w:rsidTr="009D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28D884" w14:textId="77777777" w:rsidR="00FC4E85" w:rsidRPr="00B223E9" w:rsidRDefault="006517C6" w:rsidP="006517C6">
            <w:pPr>
              <w:spacing w:after="0" w:line="240" w:lineRule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Dirección</w:t>
            </w:r>
            <w:r w:rsidR="009D2C89">
              <w:rPr>
                <w:b w:val="0"/>
                <w:color w:val="000000"/>
              </w:rPr>
              <w:t xml:space="preserve"> de Urbanizaciones y T</w:t>
            </w:r>
            <w:r w:rsidRPr="00B223E9">
              <w:rPr>
                <w:b w:val="0"/>
                <w:color w:val="000000"/>
              </w:rPr>
              <w:t>itulación</w:t>
            </w:r>
          </w:p>
        </w:tc>
        <w:tc>
          <w:tcPr>
            <w:tcW w:w="3402" w:type="dxa"/>
            <w:noWrap/>
            <w:hideMark/>
          </w:tcPr>
          <w:p w14:paraId="7A0729AC" w14:textId="77777777" w:rsidR="00FC4E85" w:rsidRDefault="009D2C89" w:rsidP="006517C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985" w:type="dxa"/>
            <w:noWrap/>
          </w:tcPr>
          <w:p w14:paraId="7FD6B6FF" w14:textId="77777777" w:rsidR="00FC4E85" w:rsidRDefault="009D2C89" w:rsidP="006517C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14,69%</w:t>
            </w:r>
          </w:p>
        </w:tc>
      </w:tr>
      <w:tr w:rsidR="00FC4E85" w14:paraId="71F406A5" w14:textId="77777777" w:rsidTr="009D2C8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007F5E" w14:textId="77777777" w:rsidR="00FC4E85" w:rsidRPr="00B223E9" w:rsidRDefault="009D2C89" w:rsidP="006517C6">
            <w:pPr>
              <w:spacing w:after="0" w:line="240" w:lineRule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Subdirección Financiera - C</w:t>
            </w:r>
            <w:r w:rsidR="006517C6" w:rsidRPr="00B223E9">
              <w:rPr>
                <w:b w:val="0"/>
                <w:color w:val="000000"/>
              </w:rPr>
              <w:t>artera</w:t>
            </w:r>
          </w:p>
        </w:tc>
        <w:tc>
          <w:tcPr>
            <w:tcW w:w="3402" w:type="dxa"/>
            <w:noWrap/>
            <w:hideMark/>
          </w:tcPr>
          <w:p w14:paraId="1C231863" w14:textId="77777777" w:rsidR="00FC4E85" w:rsidRDefault="00FC4E85" w:rsidP="006517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noWrap/>
          </w:tcPr>
          <w:p w14:paraId="096B3C46" w14:textId="77777777" w:rsidR="00FC4E85" w:rsidRDefault="009D2C89" w:rsidP="006517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0,70%</w:t>
            </w:r>
          </w:p>
        </w:tc>
      </w:tr>
      <w:tr w:rsidR="009D2C89" w14:paraId="01F47E14" w14:textId="77777777" w:rsidTr="00651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39AFD124" w14:textId="77777777" w:rsidR="009D2C89" w:rsidRPr="00B223E9" w:rsidRDefault="009D2C89" w:rsidP="009D2C89">
            <w:pPr>
              <w:spacing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Dirección de M</w:t>
            </w:r>
            <w:r w:rsidRPr="00B223E9">
              <w:rPr>
                <w:b w:val="0"/>
                <w:color w:val="000000"/>
              </w:rPr>
              <w:t>ejoramiento d</w:t>
            </w:r>
            <w:r>
              <w:rPr>
                <w:b w:val="0"/>
                <w:color w:val="000000"/>
              </w:rPr>
              <w:t>e Barrios</w:t>
            </w:r>
          </w:p>
        </w:tc>
        <w:tc>
          <w:tcPr>
            <w:tcW w:w="3402" w:type="dxa"/>
            <w:noWrap/>
          </w:tcPr>
          <w:p w14:paraId="28F72CD1" w14:textId="77777777" w:rsidR="009D2C89" w:rsidRDefault="009D2C89" w:rsidP="006517C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noWrap/>
          </w:tcPr>
          <w:p w14:paraId="2D7F267E" w14:textId="77777777" w:rsidR="009D2C89" w:rsidRDefault="009D2C89" w:rsidP="006517C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0,70%</w:t>
            </w:r>
          </w:p>
        </w:tc>
      </w:tr>
      <w:tr w:rsidR="00FC4E85" w14:paraId="5D27BC58" w14:textId="77777777" w:rsidTr="009D2C8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  <w:hideMark/>
          </w:tcPr>
          <w:p w14:paraId="1B9571A0" w14:textId="77777777" w:rsidR="00FC4E85" w:rsidRDefault="006517C6" w:rsidP="00D73235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TOTAL</w:t>
            </w:r>
          </w:p>
        </w:tc>
        <w:tc>
          <w:tcPr>
            <w:tcW w:w="3402" w:type="dxa"/>
            <w:vAlign w:val="center"/>
            <w:hideMark/>
          </w:tcPr>
          <w:p w14:paraId="4F34CEFC" w14:textId="77777777" w:rsidR="00FC4E85" w:rsidRDefault="00FC4E85" w:rsidP="009D2C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9D2C89">
              <w:rPr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14:paraId="37F56B72" w14:textId="77777777" w:rsidR="00FC4E85" w:rsidRDefault="009D2C89" w:rsidP="00D732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</w:tbl>
    <w:p w14:paraId="58716431" w14:textId="77777777" w:rsidR="00FC4E85" w:rsidRPr="00050FD7" w:rsidRDefault="00FC4E85" w:rsidP="00FC4E85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111D9F0B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14:paraId="54025272" w14:textId="77777777" w:rsidR="00C64D34" w:rsidRDefault="00C64D34" w:rsidP="00FC4E85">
      <w:pPr>
        <w:spacing w:after="0" w:line="240" w:lineRule="auto"/>
        <w:jc w:val="both"/>
        <w:rPr>
          <w:rFonts w:ascii="Arial" w:hAnsi="Arial" w:cs="Arial"/>
        </w:rPr>
      </w:pPr>
    </w:p>
    <w:p w14:paraId="386B2A69" w14:textId="07369517"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De los </w:t>
      </w:r>
      <w:r w:rsidR="009D2C89">
        <w:rPr>
          <w:rFonts w:ascii="Arial" w:hAnsi="Arial" w:cs="Arial"/>
        </w:rPr>
        <w:t>143</w:t>
      </w:r>
      <w:r w:rsidRPr="001079BC">
        <w:rPr>
          <w:rFonts w:ascii="Arial" w:hAnsi="Arial" w:cs="Arial"/>
        </w:rPr>
        <w:t xml:space="preserve"> ciudadanos con atención prioritaria en el mes de </w:t>
      </w:r>
      <w:r w:rsidR="009D2C89">
        <w:rPr>
          <w:rFonts w:ascii="Arial" w:hAnsi="Arial" w:cs="Arial"/>
        </w:rPr>
        <w:t>septiembre</w:t>
      </w:r>
      <w:r>
        <w:rPr>
          <w:rFonts w:ascii="Arial" w:hAnsi="Arial" w:cs="Arial"/>
        </w:rPr>
        <w:t xml:space="preserve"> de 2019</w:t>
      </w:r>
      <w:r w:rsidRPr="001079BC">
        <w:rPr>
          <w:rFonts w:ascii="Arial" w:hAnsi="Arial" w:cs="Arial"/>
        </w:rPr>
        <w:t xml:space="preserve">, los adultos mayores son los que más se acercan a la entidad, con un registro de </w:t>
      </w:r>
      <w:r w:rsidR="00856232">
        <w:rPr>
          <w:rFonts w:ascii="Arial" w:hAnsi="Arial" w:cs="Arial"/>
        </w:rPr>
        <w:t xml:space="preserve">98 </w:t>
      </w:r>
      <w:r>
        <w:rPr>
          <w:rFonts w:ascii="Arial" w:hAnsi="Arial" w:cs="Arial"/>
        </w:rPr>
        <w:t>personas</w:t>
      </w:r>
      <w:r w:rsidRPr="001079BC">
        <w:rPr>
          <w:rFonts w:ascii="Arial" w:hAnsi="Arial" w:cs="Arial"/>
        </w:rPr>
        <w:t xml:space="preserve"> (</w:t>
      </w:r>
      <w:r w:rsidR="00856232">
        <w:rPr>
          <w:rFonts w:ascii="Arial" w:hAnsi="Arial" w:cs="Arial"/>
        </w:rPr>
        <w:t>68</w:t>
      </w:r>
      <w:r w:rsidRPr="00D46675">
        <w:rPr>
          <w:rFonts w:ascii="Arial" w:hAnsi="Arial" w:cs="Arial"/>
        </w:rPr>
        <w:t>,</w:t>
      </w:r>
      <w:r w:rsidR="00856232">
        <w:rPr>
          <w:rFonts w:ascii="Arial" w:hAnsi="Arial" w:cs="Arial"/>
        </w:rPr>
        <w:t>53</w:t>
      </w:r>
      <w:r w:rsidRPr="001079BC">
        <w:rPr>
          <w:rFonts w:ascii="Arial" w:hAnsi="Arial" w:cs="Arial"/>
        </w:rPr>
        <w:t>%).</w:t>
      </w:r>
    </w:p>
    <w:p w14:paraId="0246C794" w14:textId="77777777" w:rsidR="004678F8" w:rsidRPr="001079BC" w:rsidRDefault="004678F8" w:rsidP="00FC4E8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498" w:type="dxa"/>
        <w:tblInd w:w="108" w:type="dxa"/>
        <w:tblLook w:val="04A0" w:firstRow="1" w:lastRow="0" w:firstColumn="1" w:lastColumn="0" w:noHBand="0" w:noVBand="1"/>
      </w:tblPr>
      <w:tblGrid>
        <w:gridCol w:w="4120"/>
        <w:gridCol w:w="3393"/>
        <w:gridCol w:w="1985"/>
      </w:tblGrid>
      <w:tr w:rsidR="00FC4E85" w:rsidRPr="005A2628" w14:paraId="27B097AF" w14:textId="77777777" w:rsidTr="00467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0632C8A" w14:textId="77777777" w:rsidR="00FC4E85" w:rsidRPr="005A2628" w:rsidRDefault="00FC4E85" w:rsidP="003B768C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5A2628">
              <w:rPr>
                <w:rFonts w:eastAsia="Times New Roman"/>
                <w:lang w:eastAsia="es-CO"/>
              </w:rPr>
              <w:t>TIPO DE PRIORIDAD</w:t>
            </w:r>
          </w:p>
        </w:tc>
      </w:tr>
      <w:tr w:rsidR="00FC4E85" w:rsidRPr="005A2628" w14:paraId="2736FC8F" w14:textId="77777777" w:rsidTr="00467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CB7CE32" w14:textId="77777777" w:rsidR="00FC4E85" w:rsidRPr="005A2628" w:rsidRDefault="00FC4E85" w:rsidP="003B768C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5A2628">
              <w:rPr>
                <w:rFonts w:eastAsia="Times New Roman"/>
                <w:lang w:eastAsia="es-CO"/>
              </w:rPr>
              <w:t>CIUDADANO PRIORITARIO</w:t>
            </w:r>
          </w:p>
        </w:tc>
        <w:tc>
          <w:tcPr>
            <w:tcW w:w="3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26E21C9" w14:textId="77777777" w:rsidR="00FC4E85" w:rsidRPr="005A2628" w:rsidRDefault="00FC4E85" w:rsidP="003B768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5A2628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613231E" w14:textId="77777777" w:rsidR="00FC4E85" w:rsidRPr="005A2628" w:rsidRDefault="00FC4E85" w:rsidP="003B768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5A2628">
              <w:rPr>
                <w:rFonts w:eastAsia="Times New Roman"/>
                <w:lang w:eastAsia="es-CO"/>
              </w:rPr>
              <w:t>PORCENTAJE</w:t>
            </w:r>
          </w:p>
        </w:tc>
      </w:tr>
      <w:tr w:rsidR="00FC4E85" w:rsidRPr="005A2628" w14:paraId="38E5D489" w14:textId="77777777" w:rsidTr="0085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tcBorders>
              <w:top w:val="single" w:sz="4" w:space="0" w:color="FFFFFF" w:themeColor="background1"/>
            </w:tcBorders>
            <w:noWrap/>
            <w:hideMark/>
          </w:tcPr>
          <w:p w14:paraId="0383B872" w14:textId="77777777" w:rsidR="00FC4E85" w:rsidRPr="00E20263" w:rsidRDefault="00FC4E85" w:rsidP="00CC0827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E20263">
              <w:rPr>
                <w:rFonts w:eastAsia="Times New Roman"/>
                <w:b w:val="0"/>
                <w:color w:val="000000"/>
                <w:lang w:eastAsia="es-CO"/>
              </w:rPr>
              <w:t>Adulto Mayor</w:t>
            </w:r>
          </w:p>
        </w:tc>
        <w:tc>
          <w:tcPr>
            <w:tcW w:w="3393" w:type="dxa"/>
            <w:tcBorders>
              <w:top w:val="single" w:sz="4" w:space="0" w:color="FFFFFF" w:themeColor="background1"/>
            </w:tcBorders>
            <w:noWrap/>
            <w:hideMark/>
          </w:tcPr>
          <w:p w14:paraId="6F478D42" w14:textId="77777777" w:rsidR="00FC4E85" w:rsidRPr="005A2628" w:rsidRDefault="009D2C89" w:rsidP="00CC08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98</w:t>
            </w:r>
          </w:p>
        </w:tc>
        <w:tc>
          <w:tcPr>
            <w:tcW w:w="1985" w:type="dxa"/>
            <w:tcBorders>
              <w:top w:val="single" w:sz="4" w:space="0" w:color="FFFFFF" w:themeColor="background1"/>
            </w:tcBorders>
            <w:noWrap/>
          </w:tcPr>
          <w:p w14:paraId="2702FE63" w14:textId="77777777" w:rsidR="00FC4E85" w:rsidRPr="005A2628" w:rsidRDefault="00856232" w:rsidP="00CC08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68,53%</w:t>
            </w:r>
          </w:p>
        </w:tc>
      </w:tr>
      <w:tr w:rsidR="00FC4E85" w:rsidRPr="005A2628" w14:paraId="0BC2560C" w14:textId="77777777" w:rsidTr="008562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noWrap/>
            <w:hideMark/>
          </w:tcPr>
          <w:p w14:paraId="64176AED" w14:textId="77777777" w:rsidR="00FC4E85" w:rsidRPr="00E20263" w:rsidRDefault="00FC4E85" w:rsidP="00CC0827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E20263">
              <w:rPr>
                <w:rFonts w:eastAsia="Times New Roman"/>
                <w:b w:val="0"/>
                <w:color w:val="000000"/>
                <w:lang w:eastAsia="es-CO"/>
              </w:rPr>
              <w:t>Mujeres lactantes</w:t>
            </w:r>
          </w:p>
        </w:tc>
        <w:tc>
          <w:tcPr>
            <w:tcW w:w="3393" w:type="dxa"/>
            <w:noWrap/>
            <w:hideMark/>
          </w:tcPr>
          <w:p w14:paraId="716DFA29" w14:textId="77777777" w:rsidR="00FC4E85" w:rsidRPr="005A2628" w:rsidRDefault="00856232" w:rsidP="00CC08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22</w:t>
            </w:r>
          </w:p>
        </w:tc>
        <w:tc>
          <w:tcPr>
            <w:tcW w:w="1985" w:type="dxa"/>
            <w:noWrap/>
          </w:tcPr>
          <w:p w14:paraId="2322DE99" w14:textId="77777777" w:rsidR="00FC4E85" w:rsidRPr="005A2628" w:rsidRDefault="00856232" w:rsidP="00CC08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15,38%</w:t>
            </w:r>
          </w:p>
        </w:tc>
      </w:tr>
      <w:tr w:rsidR="00FC4E85" w:rsidRPr="005A2628" w14:paraId="638F9CBE" w14:textId="77777777" w:rsidTr="0085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noWrap/>
            <w:hideMark/>
          </w:tcPr>
          <w:p w14:paraId="396BC242" w14:textId="77777777" w:rsidR="00FC4E85" w:rsidRPr="00E20263" w:rsidRDefault="00FC4E85" w:rsidP="00CC0827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E20263">
              <w:rPr>
                <w:rFonts w:eastAsia="Times New Roman"/>
                <w:b w:val="0"/>
                <w:color w:val="000000"/>
                <w:lang w:eastAsia="es-CO"/>
              </w:rPr>
              <w:t>Discapacitados/as (no certificado)</w:t>
            </w:r>
          </w:p>
        </w:tc>
        <w:tc>
          <w:tcPr>
            <w:tcW w:w="3393" w:type="dxa"/>
            <w:noWrap/>
            <w:hideMark/>
          </w:tcPr>
          <w:p w14:paraId="760824C8" w14:textId="77777777" w:rsidR="00FC4E85" w:rsidRPr="005A2628" w:rsidRDefault="009D2C89" w:rsidP="00CC08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11</w:t>
            </w:r>
          </w:p>
        </w:tc>
        <w:tc>
          <w:tcPr>
            <w:tcW w:w="1985" w:type="dxa"/>
            <w:noWrap/>
          </w:tcPr>
          <w:p w14:paraId="3177FF73" w14:textId="77777777" w:rsidR="00FC4E85" w:rsidRPr="005A2628" w:rsidRDefault="00856232" w:rsidP="00CC08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7,69%</w:t>
            </w:r>
          </w:p>
        </w:tc>
      </w:tr>
      <w:tr w:rsidR="00FC4E85" w:rsidRPr="005A2628" w14:paraId="4CF8A46C" w14:textId="77777777" w:rsidTr="008562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noWrap/>
            <w:hideMark/>
          </w:tcPr>
          <w:p w14:paraId="177D072F" w14:textId="77777777" w:rsidR="00FC4E85" w:rsidRPr="00E20263" w:rsidRDefault="00FC4E85" w:rsidP="00CC0827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E20263">
              <w:rPr>
                <w:rFonts w:eastAsia="Times New Roman"/>
                <w:b w:val="0"/>
                <w:color w:val="000000"/>
                <w:lang w:eastAsia="es-CO"/>
              </w:rPr>
              <w:t>Mujeres embarazadas</w:t>
            </w:r>
          </w:p>
        </w:tc>
        <w:tc>
          <w:tcPr>
            <w:tcW w:w="3393" w:type="dxa"/>
            <w:noWrap/>
            <w:hideMark/>
          </w:tcPr>
          <w:p w14:paraId="3289479A" w14:textId="77777777" w:rsidR="00FC4E85" w:rsidRPr="005A2628" w:rsidRDefault="00856232" w:rsidP="00CC08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5</w:t>
            </w:r>
          </w:p>
        </w:tc>
        <w:tc>
          <w:tcPr>
            <w:tcW w:w="1985" w:type="dxa"/>
            <w:noWrap/>
          </w:tcPr>
          <w:p w14:paraId="578CBB41" w14:textId="77777777" w:rsidR="00FC4E85" w:rsidRPr="005A2628" w:rsidRDefault="00856232" w:rsidP="00CC08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3,50%</w:t>
            </w:r>
          </w:p>
        </w:tc>
      </w:tr>
      <w:tr w:rsidR="00FC4E85" w:rsidRPr="005A2628" w14:paraId="392622DF" w14:textId="77777777" w:rsidTr="0085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noWrap/>
            <w:hideMark/>
          </w:tcPr>
          <w:p w14:paraId="79C8AE14" w14:textId="77777777" w:rsidR="00FC4E85" w:rsidRPr="00E20263" w:rsidRDefault="00FC4E85" w:rsidP="00CC0827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E20263">
              <w:rPr>
                <w:rFonts w:eastAsia="Times New Roman"/>
                <w:b w:val="0"/>
                <w:color w:val="000000"/>
                <w:lang w:eastAsia="es-CO"/>
              </w:rPr>
              <w:t>Discapacitados/as (certificado)</w:t>
            </w:r>
          </w:p>
        </w:tc>
        <w:tc>
          <w:tcPr>
            <w:tcW w:w="3393" w:type="dxa"/>
            <w:noWrap/>
            <w:hideMark/>
          </w:tcPr>
          <w:p w14:paraId="22CB3638" w14:textId="77777777" w:rsidR="00FC4E85" w:rsidRPr="005A2628" w:rsidRDefault="00FC4E85" w:rsidP="00CC08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A2628">
              <w:rPr>
                <w:rFonts w:eastAsia="Times New Roman"/>
                <w:color w:val="000000"/>
                <w:lang w:eastAsia="es-CO"/>
              </w:rPr>
              <w:t>4</w:t>
            </w:r>
          </w:p>
        </w:tc>
        <w:tc>
          <w:tcPr>
            <w:tcW w:w="1985" w:type="dxa"/>
            <w:noWrap/>
          </w:tcPr>
          <w:p w14:paraId="68EBCD0C" w14:textId="77777777" w:rsidR="00FC4E85" w:rsidRPr="005A2628" w:rsidRDefault="00856232" w:rsidP="00CC08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2,80%</w:t>
            </w:r>
          </w:p>
        </w:tc>
      </w:tr>
      <w:tr w:rsidR="00FC4E85" w:rsidRPr="005A2628" w14:paraId="2BAA856B" w14:textId="77777777" w:rsidTr="008562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noWrap/>
            <w:hideMark/>
          </w:tcPr>
          <w:p w14:paraId="071492DE" w14:textId="77777777" w:rsidR="00FC4E85" w:rsidRPr="00E20263" w:rsidRDefault="00FC4E85" w:rsidP="00CC0827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E20263">
              <w:rPr>
                <w:rFonts w:eastAsia="Times New Roman"/>
                <w:b w:val="0"/>
                <w:color w:val="000000"/>
                <w:lang w:eastAsia="es-CO"/>
              </w:rPr>
              <w:t>Ninguna de las anteriores</w:t>
            </w:r>
          </w:p>
        </w:tc>
        <w:tc>
          <w:tcPr>
            <w:tcW w:w="3393" w:type="dxa"/>
            <w:noWrap/>
            <w:hideMark/>
          </w:tcPr>
          <w:p w14:paraId="3B52F78F" w14:textId="77777777" w:rsidR="00FC4E85" w:rsidRPr="005A2628" w:rsidRDefault="00FC4E85" w:rsidP="00CC08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A2628"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1985" w:type="dxa"/>
            <w:noWrap/>
          </w:tcPr>
          <w:p w14:paraId="78F00987" w14:textId="77777777" w:rsidR="00FC4E85" w:rsidRPr="005A2628" w:rsidRDefault="00856232" w:rsidP="00CC08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2,10%</w:t>
            </w:r>
          </w:p>
        </w:tc>
      </w:tr>
      <w:tr w:rsidR="00FC4E85" w:rsidRPr="005A2628" w14:paraId="38DA6798" w14:textId="77777777" w:rsidTr="0085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vAlign w:val="center"/>
            <w:hideMark/>
          </w:tcPr>
          <w:p w14:paraId="47CD19A3" w14:textId="77777777" w:rsidR="00FC4E85" w:rsidRPr="005A2628" w:rsidRDefault="00E20263" w:rsidP="00C357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5A2628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3393" w:type="dxa"/>
            <w:vAlign w:val="center"/>
            <w:hideMark/>
          </w:tcPr>
          <w:p w14:paraId="225D4BCC" w14:textId="77777777" w:rsidR="00FC4E85" w:rsidRPr="005A2628" w:rsidRDefault="009D2C89" w:rsidP="00C357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>
              <w:rPr>
                <w:rFonts w:eastAsia="Times New Roman"/>
                <w:b/>
                <w:bCs/>
                <w:lang w:eastAsia="es-CO"/>
              </w:rPr>
              <w:t>143</w:t>
            </w:r>
          </w:p>
        </w:tc>
        <w:tc>
          <w:tcPr>
            <w:tcW w:w="1985" w:type="dxa"/>
            <w:vAlign w:val="center"/>
          </w:tcPr>
          <w:p w14:paraId="703192D2" w14:textId="77777777" w:rsidR="00FC4E85" w:rsidRPr="005A2628" w:rsidRDefault="00856232" w:rsidP="00C357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>
              <w:rPr>
                <w:rFonts w:eastAsia="Times New Roman"/>
                <w:b/>
                <w:bCs/>
                <w:lang w:eastAsia="es-CO"/>
              </w:rPr>
              <w:t>100,00%</w:t>
            </w:r>
          </w:p>
        </w:tc>
      </w:tr>
    </w:tbl>
    <w:p w14:paraId="2DC4FBE0" w14:textId="77777777" w:rsidR="00FC4E85" w:rsidRPr="00050FD7" w:rsidRDefault="00FC4E85" w:rsidP="00FC4E85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78FF890D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14:paraId="7E39BF44" w14:textId="77777777" w:rsidR="00FC4E85" w:rsidRDefault="00FC4E85" w:rsidP="00FC4E85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14:paraId="086B842D" w14:textId="77777777" w:rsidR="00FC4E85" w:rsidRDefault="00FC4E85" w:rsidP="00FC4E85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14:paraId="1FBA5830" w14:textId="77777777" w:rsidR="00FC4E85" w:rsidRPr="005B2EA1" w:rsidRDefault="00FC4E85" w:rsidP="00FC4E85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5B2EA1">
        <w:rPr>
          <w:rFonts w:ascii="Arial" w:hAnsi="Arial" w:cs="Arial"/>
          <w:b/>
          <w:u w:val="single"/>
        </w:rPr>
        <w:t>DETALLE DE LA ATENCIÓN POR EL CANAL TELEFONICO DE LAS DIFERENTES DEPENDENCIAS</w:t>
      </w:r>
    </w:p>
    <w:p w14:paraId="4AD5F8DC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p w14:paraId="0DB8FE72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</w:t>
      </w:r>
      <w:r w:rsidRPr="004671BC">
        <w:rPr>
          <w:rFonts w:ascii="Arial" w:hAnsi="Arial" w:cs="Arial"/>
        </w:rPr>
        <w:t xml:space="preserve"> Canal Telefónico</w:t>
      </w:r>
      <w:r>
        <w:rPr>
          <w:rFonts w:ascii="Arial" w:hAnsi="Arial" w:cs="Arial"/>
        </w:rPr>
        <w:t xml:space="preserve">, que es atendido en </w:t>
      </w:r>
      <w:r w:rsidRPr="004671BC">
        <w:rPr>
          <w:rFonts w:ascii="Arial" w:hAnsi="Arial" w:cs="Arial"/>
        </w:rPr>
        <w:t>la línea (571)</w:t>
      </w:r>
      <w:r>
        <w:rPr>
          <w:rFonts w:ascii="Arial" w:hAnsi="Arial" w:cs="Arial"/>
        </w:rPr>
        <w:t xml:space="preserve"> </w:t>
      </w:r>
      <w:r w:rsidRPr="004671BC">
        <w:rPr>
          <w:rFonts w:ascii="Arial" w:hAnsi="Arial" w:cs="Arial"/>
        </w:rPr>
        <w:t>3494520</w:t>
      </w:r>
      <w:r>
        <w:rPr>
          <w:rFonts w:ascii="Arial" w:hAnsi="Arial" w:cs="Arial"/>
        </w:rPr>
        <w:t xml:space="preserve">, el cual es operado </w:t>
      </w:r>
      <w:r w:rsidRPr="004671BC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 xml:space="preserve">el Servicio al </w:t>
      </w:r>
      <w:r w:rsidRPr="004671BC">
        <w:rPr>
          <w:rFonts w:ascii="Arial" w:hAnsi="Arial" w:cs="Arial"/>
        </w:rPr>
        <w:t xml:space="preserve">Ciudadano </w:t>
      </w:r>
      <w:r>
        <w:rPr>
          <w:rFonts w:ascii="Arial" w:hAnsi="Arial" w:cs="Arial"/>
        </w:rPr>
        <w:t xml:space="preserve">en </w:t>
      </w:r>
      <w:r w:rsidRPr="004671BC">
        <w:rPr>
          <w:rFonts w:ascii="Arial" w:hAnsi="Arial" w:cs="Arial"/>
        </w:rPr>
        <w:t>donde se recibe la llamada</w:t>
      </w:r>
      <w:r>
        <w:rPr>
          <w:rFonts w:ascii="Arial" w:hAnsi="Arial" w:cs="Arial"/>
        </w:rPr>
        <w:t xml:space="preserve">, esta se </w:t>
      </w:r>
      <w:r w:rsidRPr="004671BC">
        <w:rPr>
          <w:rFonts w:ascii="Arial" w:hAnsi="Arial" w:cs="Arial"/>
        </w:rPr>
        <w:t>registr</w:t>
      </w:r>
      <w:r>
        <w:rPr>
          <w:rFonts w:ascii="Arial" w:hAnsi="Arial" w:cs="Arial"/>
        </w:rPr>
        <w:t xml:space="preserve">a en el sistema de información SIMA para posteriormente </w:t>
      </w:r>
      <w:r w:rsidRPr="004671BC">
        <w:rPr>
          <w:rFonts w:ascii="Arial" w:hAnsi="Arial" w:cs="Arial"/>
        </w:rPr>
        <w:t>trans</w:t>
      </w:r>
      <w:r>
        <w:rPr>
          <w:rFonts w:ascii="Arial" w:hAnsi="Arial" w:cs="Arial"/>
        </w:rPr>
        <w:t xml:space="preserve">ferirla </w:t>
      </w:r>
      <w:r w:rsidRPr="004671BC">
        <w:rPr>
          <w:rFonts w:ascii="Arial" w:hAnsi="Arial" w:cs="Arial"/>
        </w:rPr>
        <w:t xml:space="preserve">a las </w:t>
      </w:r>
      <w:r>
        <w:rPr>
          <w:rFonts w:ascii="Arial" w:hAnsi="Arial" w:cs="Arial"/>
        </w:rPr>
        <w:t>e</w:t>
      </w:r>
      <w:r w:rsidRPr="004671BC">
        <w:rPr>
          <w:rFonts w:ascii="Arial" w:hAnsi="Arial" w:cs="Arial"/>
        </w:rPr>
        <w:t>xtensiones de cada una de las dependencias de la C</w:t>
      </w:r>
      <w:r>
        <w:rPr>
          <w:rFonts w:ascii="Arial" w:hAnsi="Arial" w:cs="Arial"/>
        </w:rPr>
        <w:t>VP.</w:t>
      </w:r>
    </w:p>
    <w:p w14:paraId="0D060BD2" w14:textId="77777777" w:rsidR="00F81585" w:rsidRDefault="00F81585" w:rsidP="00FC4E85">
      <w:pPr>
        <w:spacing w:after="0" w:line="240" w:lineRule="auto"/>
        <w:jc w:val="both"/>
        <w:rPr>
          <w:rFonts w:ascii="Arial" w:hAnsi="Arial" w:cs="Arial"/>
        </w:rPr>
      </w:pPr>
    </w:p>
    <w:p w14:paraId="6F699C5F" w14:textId="4B37F1E2" w:rsidR="00FC4E85" w:rsidRDefault="00FC4E85" w:rsidP="00FC4E8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Cs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C22C53" wp14:editId="552B34AF">
                <wp:simplePos x="0" y="0"/>
                <wp:positionH relativeFrom="column">
                  <wp:posOffset>-1508125</wp:posOffset>
                </wp:positionH>
                <wp:positionV relativeFrom="paragraph">
                  <wp:posOffset>34925</wp:posOffset>
                </wp:positionV>
                <wp:extent cx="502285" cy="29083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1E3AC" w14:textId="77777777" w:rsidR="00CC0827" w:rsidRPr="00A21483" w:rsidRDefault="00CC0827" w:rsidP="00FC4E85">
                            <w:pPr>
                              <w:rPr>
                                <w:b/>
                              </w:rPr>
                            </w:pPr>
                            <w:r w:rsidRPr="00A21483">
                              <w:rPr>
                                <w:b/>
                              </w:rPr>
                              <w:t>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C22C53"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left:0;text-align:left;margin-left:-118.75pt;margin-top:2.75pt;width:39.55pt;height:22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" filled="f" stroked="f" strokeweight=".5pt">
                <v:textbox>
                  <w:txbxContent>
                    <w:p w14:paraId="6C91E3AC" w14:textId="77777777" w:rsidR="00CC0827" w:rsidRPr="00A21483" w:rsidRDefault="00CC0827" w:rsidP="00FC4E85">
                      <w:pPr>
                        <w:rPr>
                          <w:b/>
                        </w:rPr>
                      </w:pPr>
                      <w:r w:rsidRPr="00A21483">
                        <w:rPr>
                          <w:b/>
                        </w:rPr>
                        <w:t>148</w:t>
                      </w:r>
                    </w:p>
                  </w:txbxContent>
                </v:textbox>
              </v:shape>
            </w:pict>
          </mc:Fallback>
        </mc:AlternateContent>
      </w:r>
      <w:r w:rsidR="00A32CAC" w:rsidRPr="0014006E">
        <w:rPr>
          <w:b/>
          <w:bCs/>
          <w:noProof/>
          <w:lang w:eastAsia="es-CO"/>
        </w:rPr>
        <w:drawing>
          <wp:inline distT="0" distB="0" distL="0" distR="0" wp14:anchorId="7590F0D1" wp14:editId="3BC64F53">
            <wp:extent cx="6050280" cy="2247900"/>
            <wp:effectExtent l="0" t="0" r="762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1A0CDBD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Informe Conmutador del mes de </w:t>
      </w:r>
      <w:r w:rsidR="00CC0827">
        <w:rPr>
          <w:rFonts w:ascii="Arial" w:hAnsi="Arial" w:cs="Arial"/>
          <w:sz w:val="16"/>
          <w:szCs w:val="16"/>
        </w:rPr>
        <w:t>septiembre</w:t>
      </w:r>
      <w:r>
        <w:rPr>
          <w:rFonts w:ascii="Arial" w:hAnsi="Arial" w:cs="Arial"/>
          <w:sz w:val="16"/>
          <w:szCs w:val="16"/>
        </w:rPr>
        <w:t xml:space="preserve"> 2019 discriminado por dependencia.</w:t>
      </w:r>
    </w:p>
    <w:p w14:paraId="5101B4C9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Fuente: SIMA</w:t>
      </w:r>
    </w:p>
    <w:p w14:paraId="498156CA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p w14:paraId="01EB6013" w14:textId="2CBF239F"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>Los registros arrojados por el SIMA, permite establecer</w:t>
      </w:r>
      <w:r>
        <w:rPr>
          <w:rFonts w:ascii="Arial" w:hAnsi="Arial" w:cs="Arial"/>
        </w:rPr>
        <w:t xml:space="preserve"> que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totalidad de las 1</w:t>
      </w:r>
      <w:r w:rsidR="00A32CAC">
        <w:rPr>
          <w:rFonts w:ascii="Arial" w:hAnsi="Arial" w:cs="Arial"/>
        </w:rPr>
        <w:t>15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100</w:t>
      </w:r>
      <w:r w:rsidRPr="001079BC">
        <w:rPr>
          <w:rFonts w:ascii="Arial" w:hAnsi="Arial" w:cs="Arial"/>
        </w:rPr>
        <w:t>%) llamadas</w:t>
      </w:r>
      <w:r>
        <w:rPr>
          <w:rFonts w:ascii="Arial" w:hAnsi="Arial" w:cs="Arial"/>
        </w:rPr>
        <w:t xml:space="preserve">, </w:t>
      </w:r>
      <w:r w:rsidR="00CC0827">
        <w:rPr>
          <w:rFonts w:ascii="Arial" w:hAnsi="Arial" w:cs="Arial"/>
        </w:rPr>
        <w:t>97</w:t>
      </w:r>
      <w:r>
        <w:rPr>
          <w:rFonts w:ascii="Arial" w:hAnsi="Arial" w:cs="Arial"/>
        </w:rPr>
        <w:t xml:space="preserve"> (8</w:t>
      </w:r>
      <w:r w:rsidR="00CC0827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CC0827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%) </w:t>
      </w:r>
      <w:r w:rsidRPr="001079BC">
        <w:rPr>
          <w:rFonts w:ascii="Arial" w:hAnsi="Arial" w:cs="Arial"/>
        </w:rPr>
        <w:t xml:space="preserve">fueron contestadas por </w:t>
      </w:r>
      <w:r>
        <w:rPr>
          <w:rFonts w:ascii="Arial" w:hAnsi="Arial" w:cs="Arial"/>
        </w:rPr>
        <w:t>las</w:t>
      </w:r>
      <w:r w:rsidRPr="001079BC">
        <w:rPr>
          <w:rFonts w:ascii="Arial" w:hAnsi="Arial" w:cs="Arial"/>
        </w:rPr>
        <w:t xml:space="preserve"> área</w:t>
      </w:r>
      <w:r>
        <w:rPr>
          <w:rFonts w:ascii="Arial" w:hAnsi="Arial" w:cs="Arial"/>
        </w:rPr>
        <w:t>s</w:t>
      </w:r>
      <w:r w:rsidRPr="001079BC">
        <w:rPr>
          <w:rFonts w:ascii="Arial" w:hAnsi="Arial" w:cs="Arial"/>
        </w:rPr>
        <w:t xml:space="preserve"> a las cual</w:t>
      </w:r>
      <w:r>
        <w:rPr>
          <w:rFonts w:ascii="Arial" w:hAnsi="Arial" w:cs="Arial"/>
        </w:rPr>
        <w:t>es</w:t>
      </w:r>
      <w:r w:rsidRPr="001079BC">
        <w:rPr>
          <w:rFonts w:ascii="Arial" w:hAnsi="Arial" w:cs="Arial"/>
        </w:rPr>
        <w:t xml:space="preserve"> fueron conmutadas</w:t>
      </w:r>
      <w:r>
        <w:rPr>
          <w:rFonts w:ascii="Arial" w:hAnsi="Arial" w:cs="Arial"/>
        </w:rPr>
        <w:t>, 1</w:t>
      </w:r>
      <w:r w:rsidR="00CC082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(1</w:t>
      </w:r>
      <w:r w:rsidR="00CC0827">
        <w:rPr>
          <w:rFonts w:ascii="Arial" w:hAnsi="Arial" w:cs="Arial"/>
        </w:rPr>
        <w:t>5</w:t>
      </w:r>
      <w:r>
        <w:rPr>
          <w:rFonts w:ascii="Arial" w:hAnsi="Arial" w:cs="Arial"/>
        </w:rPr>
        <w:t>,6</w:t>
      </w:r>
      <w:r w:rsidR="00CC0827">
        <w:rPr>
          <w:rFonts w:ascii="Arial" w:hAnsi="Arial" w:cs="Arial"/>
        </w:rPr>
        <w:t>5</w:t>
      </w:r>
      <w:r>
        <w:rPr>
          <w:rFonts w:ascii="Arial" w:hAnsi="Arial" w:cs="Arial"/>
        </w:rPr>
        <w:t>%) no fueron contestadas.</w:t>
      </w:r>
      <w:r w:rsidRPr="001079BC">
        <w:rPr>
          <w:rFonts w:ascii="Arial" w:hAnsi="Arial" w:cs="Arial"/>
        </w:rPr>
        <w:t xml:space="preserve"> De igual manera se puede observar que el área con más llamadas recibidas es </w:t>
      </w:r>
      <w:r>
        <w:rPr>
          <w:rFonts w:ascii="Arial" w:hAnsi="Arial" w:cs="Arial"/>
        </w:rPr>
        <w:t xml:space="preserve">la </w:t>
      </w:r>
      <w:r w:rsidRPr="001079BC">
        <w:rPr>
          <w:rFonts w:ascii="Arial" w:hAnsi="Arial" w:cs="Arial"/>
        </w:rPr>
        <w:t xml:space="preserve">Dirección de </w:t>
      </w:r>
      <w:r>
        <w:rPr>
          <w:rFonts w:ascii="Arial" w:hAnsi="Arial" w:cs="Arial"/>
        </w:rPr>
        <w:t>Reasentamientos</w:t>
      </w:r>
      <w:r w:rsidRPr="001079BC">
        <w:rPr>
          <w:rFonts w:ascii="Arial" w:hAnsi="Arial" w:cs="Arial"/>
        </w:rPr>
        <w:t xml:space="preserve"> </w:t>
      </w:r>
      <w:r w:rsidR="00784070">
        <w:rPr>
          <w:rFonts w:ascii="Arial" w:hAnsi="Arial" w:cs="Arial"/>
        </w:rPr>
        <w:t xml:space="preserve">Humanos </w:t>
      </w:r>
      <w:r w:rsidRPr="001079BC">
        <w:rPr>
          <w:rFonts w:ascii="Arial" w:hAnsi="Arial" w:cs="Arial"/>
        </w:rPr>
        <w:t xml:space="preserve">con </w:t>
      </w:r>
      <w:r w:rsidR="00CC0827">
        <w:rPr>
          <w:rFonts w:ascii="Arial" w:hAnsi="Arial" w:cs="Arial"/>
        </w:rPr>
        <w:t>63</w:t>
      </w:r>
      <w:r w:rsidRPr="001079BC">
        <w:rPr>
          <w:rFonts w:ascii="Arial" w:hAnsi="Arial" w:cs="Arial"/>
        </w:rPr>
        <w:t xml:space="preserve"> registros telefónicos</w:t>
      </w:r>
      <w:r w:rsidR="00CC0827">
        <w:rPr>
          <w:rFonts w:ascii="Arial" w:hAnsi="Arial" w:cs="Arial"/>
        </w:rPr>
        <w:t>.</w:t>
      </w:r>
      <w:r w:rsidR="00A32CAC">
        <w:rPr>
          <w:rFonts w:ascii="Arial" w:hAnsi="Arial" w:cs="Arial"/>
        </w:rPr>
        <w:t xml:space="preserve"> </w:t>
      </w:r>
    </w:p>
    <w:p w14:paraId="3DD16077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p w14:paraId="246E8B7A" w14:textId="77777777"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p w14:paraId="3FE9946C" w14:textId="77777777" w:rsidR="00FC4E85" w:rsidRPr="00635E63" w:rsidRDefault="00FC4E85" w:rsidP="00FC4E85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lang w:eastAsia="es-CO"/>
        </w:rPr>
      </w:pPr>
      <w:r w:rsidRPr="00635E63">
        <w:rPr>
          <w:rFonts w:ascii="Arial" w:eastAsia="Times New Roman" w:hAnsi="Arial" w:cs="Arial"/>
          <w:b/>
          <w:color w:val="222222"/>
          <w:lang w:eastAsia="es-CO"/>
        </w:rPr>
        <w:t>CONCLUSIONES</w:t>
      </w:r>
    </w:p>
    <w:p w14:paraId="7EEFC98C" w14:textId="77777777" w:rsidR="00FC4E85" w:rsidRPr="001079BC" w:rsidRDefault="00FC4E85" w:rsidP="00FC4E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s-CO"/>
        </w:rPr>
      </w:pPr>
    </w:p>
    <w:p w14:paraId="501409A7" w14:textId="77777777" w:rsidR="00FC4E85" w:rsidRPr="009858C2" w:rsidRDefault="00FC4E85" w:rsidP="00FC4E8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858C2">
        <w:rPr>
          <w:rFonts w:ascii="Arial" w:hAnsi="Arial" w:cs="Arial"/>
        </w:rPr>
        <w:t xml:space="preserve">Para el mes de </w:t>
      </w:r>
      <w:r w:rsidR="00CC0827">
        <w:rPr>
          <w:rFonts w:ascii="Arial" w:hAnsi="Arial" w:cs="Arial"/>
        </w:rPr>
        <w:t>septiembre</w:t>
      </w:r>
      <w:r w:rsidRPr="009858C2">
        <w:rPr>
          <w:rFonts w:ascii="Arial" w:hAnsi="Arial" w:cs="Arial"/>
        </w:rPr>
        <w:t xml:space="preserve"> de 2019 a la entidad se acercaron </w:t>
      </w:r>
      <w:r>
        <w:rPr>
          <w:rFonts w:ascii="Arial" w:hAnsi="Arial" w:cs="Arial"/>
        </w:rPr>
        <w:t>3</w:t>
      </w:r>
      <w:r w:rsidRPr="009858C2">
        <w:rPr>
          <w:rFonts w:ascii="Arial" w:hAnsi="Arial" w:cs="Arial"/>
        </w:rPr>
        <w:t>.</w:t>
      </w:r>
      <w:r w:rsidR="00CC0827">
        <w:rPr>
          <w:rFonts w:ascii="Arial" w:hAnsi="Arial" w:cs="Arial"/>
        </w:rPr>
        <w:t>194</w:t>
      </w:r>
      <w:r w:rsidRPr="009858C2">
        <w:rPr>
          <w:rFonts w:ascii="Arial" w:hAnsi="Arial" w:cs="Arial"/>
        </w:rPr>
        <w:t xml:space="preserve"> ciudadanos, de los cuales </w:t>
      </w:r>
      <w:r w:rsidR="00CC0827">
        <w:rPr>
          <w:rFonts w:ascii="Arial" w:hAnsi="Arial" w:cs="Arial"/>
        </w:rPr>
        <w:t>la gran mayoría</w:t>
      </w:r>
      <w:r w:rsidRPr="009858C2">
        <w:rPr>
          <w:rFonts w:ascii="Arial" w:hAnsi="Arial" w:cs="Arial"/>
        </w:rPr>
        <w:t xml:space="preserve"> lo hicieron con el objetivo de conocer el estado del proceso o para solicitar información general de los programas a los cuales se acercaron. De manera consolidada, de enero a </w:t>
      </w:r>
      <w:r w:rsidR="00CC0827">
        <w:rPr>
          <w:rFonts w:ascii="Arial" w:hAnsi="Arial" w:cs="Arial"/>
        </w:rPr>
        <w:t>septiembre</w:t>
      </w:r>
      <w:r w:rsidRPr="009858C2">
        <w:rPr>
          <w:rFonts w:ascii="Arial" w:hAnsi="Arial" w:cs="Arial"/>
        </w:rPr>
        <w:t xml:space="preserve"> de 2019, se han acercado a la entidad </w:t>
      </w:r>
      <w:r>
        <w:rPr>
          <w:rFonts w:ascii="Arial" w:hAnsi="Arial" w:cs="Arial"/>
        </w:rPr>
        <w:t>2</w:t>
      </w:r>
      <w:r w:rsidR="00CC0827">
        <w:rPr>
          <w:rFonts w:ascii="Arial" w:hAnsi="Arial" w:cs="Arial"/>
        </w:rPr>
        <w:t>9</w:t>
      </w:r>
      <w:r w:rsidRPr="009858C2">
        <w:rPr>
          <w:rFonts w:ascii="Arial" w:hAnsi="Arial" w:cs="Arial"/>
        </w:rPr>
        <w:t>.</w:t>
      </w:r>
      <w:r w:rsidR="00CC0827">
        <w:rPr>
          <w:rFonts w:ascii="Arial" w:hAnsi="Arial" w:cs="Arial"/>
        </w:rPr>
        <w:t>254</w:t>
      </w:r>
      <w:r w:rsidRPr="009858C2">
        <w:rPr>
          <w:rFonts w:ascii="Arial" w:hAnsi="Arial" w:cs="Arial"/>
        </w:rPr>
        <w:t xml:space="preserve"> (100%) ciudadanos/usuarios</w:t>
      </w:r>
      <w:r>
        <w:rPr>
          <w:rFonts w:ascii="Arial" w:hAnsi="Arial" w:cs="Arial"/>
        </w:rPr>
        <w:t>.</w:t>
      </w:r>
    </w:p>
    <w:p w14:paraId="2BC32702" w14:textId="77777777" w:rsidR="00FC4E85" w:rsidRPr="00BD15EA" w:rsidRDefault="00FC4E85" w:rsidP="00FC4E85">
      <w:pPr>
        <w:shd w:val="clear" w:color="auto" w:fill="FFFFFF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78BC3B4F" w14:textId="77777777" w:rsidR="00FC4E85" w:rsidRPr="007104FC" w:rsidRDefault="00FC4E85" w:rsidP="00FC4E8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7104FC">
        <w:rPr>
          <w:rFonts w:ascii="Arial" w:hAnsi="Arial" w:cs="Arial"/>
        </w:rPr>
        <w:t>Se establece la importancia de implementar la Política de Gobierno Digital, que permita fomentar el acceso a la información de una manera más ágil; abordando las herramientas tecnológicas como la página web, las redes sociales y aplicativos para Smartphone, lo cual permitirá de alguna manera descongestionar el área de atención al ciudadano y la misma entidad; mejorando la calidad de vida de los ciudadanos/usuarios que acceden a la entidad.</w:t>
      </w:r>
    </w:p>
    <w:p w14:paraId="683C3FC1" w14:textId="77777777" w:rsidR="00FC4E85" w:rsidRPr="007104FC" w:rsidRDefault="00FC4E85" w:rsidP="00FC4E8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6A66CB44" w14:textId="77777777" w:rsidR="00FC4E85" w:rsidRPr="007104FC" w:rsidRDefault="00FC4E85" w:rsidP="00FC4E8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7104FC">
        <w:rPr>
          <w:rFonts w:ascii="Arial" w:hAnsi="Arial" w:cs="Arial"/>
        </w:rPr>
        <w:t>Dar a conocer en detalle al usuario los diferentes canales de interacción, puntos de atención en terreno y en la CVP, evitando que los Ciudadanos más vulnerables tengan que desplazarse lejos de su vivienda.</w:t>
      </w:r>
    </w:p>
    <w:p w14:paraId="0490EF16" w14:textId="77777777" w:rsidR="00FC4E85" w:rsidRPr="007104FC" w:rsidRDefault="00FC4E85" w:rsidP="00FC4E8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4730CA60" w14:textId="77777777" w:rsidR="00FC4E85" w:rsidRDefault="00FC4E85" w:rsidP="00FC4E8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7104FC">
        <w:rPr>
          <w:rFonts w:ascii="Arial" w:hAnsi="Arial" w:cs="Arial"/>
        </w:rPr>
        <w:t xml:space="preserve">Facilitar el acceso a la información sobre los trámites y servicios que presta la entidad de manera virtual, permitirá empoderar a los ciudadanos; haciéndolos participes en la construcción de una </w:t>
      </w:r>
      <w:r w:rsidRPr="00B86F28">
        <w:rPr>
          <w:rFonts w:ascii="Arial" w:hAnsi="Arial" w:cs="Arial"/>
          <w:b/>
        </w:rPr>
        <w:t>¡BOGOTA MEJOR PARA TODOS!</w:t>
      </w:r>
    </w:p>
    <w:p w14:paraId="35D0A53C" w14:textId="77777777" w:rsidR="00FC4E85" w:rsidRDefault="00FC4E85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14:paraId="205FB8E7" w14:textId="77777777" w:rsidR="006F2F06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14:paraId="1345420C" w14:textId="77777777" w:rsidR="009469CB" w:rsidRDefault="009469CB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14:paraId="63038ED0" w14:textId="77777777" w:rsidR="006F2F06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14:paraId="1A8AB435" w14:textId="77777777" w:rsidR="006F2F06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14:paraId="56300548" w14:textId="77777777" w:rsidR="006F2F06" w:rsidRPr="002E720E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  <w:t>EDGAR DAVID MOTTA REVOLLO</w:t>
      </w:r>
    </w:p>
    <w:p w14:paraId="0B47858F" w14:textId="77777777" w:rsidR="006F2F06" w:rsidRPr="002E720E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2E720E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Director de Gestión Corporativa y CID</w:t>
      </w:r>
      <w:r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</w:p>
    <w:p w14:paraId="51DB6FBA" w14:textId="77777777" w:rsidR="006F2F06" w:rsidRPr="00AF0CB1" w:rsidRDefault="006F2F06" w:rsidP="006F2F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5A15EC" w14:textId="77777777" w:rsidR="006F2F06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Elaboró: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Oscar Ramirez Ramirez  - 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394 de 2019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</w:p>
    <w:p w14:paraId="1D07F965" w14:textId="77777777" w:rsidR="006F2F06" w:rsidRPr="00CC0827" w:rsidRDefault="006F2F06" w:rsidP="00CC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B12016">
        <w:rPr>
          <w:sz w:val="18"/>
          <w:szCs w:val="18"/>
          <w:lang w:val="es-ES"/>
        </w:rPr>
        <w:t>Reviso:</w:t>
      </w:r>
      <w:r w:rsidR="00CC0827"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    </w:t>
      </w: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Roberto Carlos Narváez Cortés - 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030 de 2019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14:paraId="55F7586E" w14:textId="77777777" w:rsidR="006F2F06" w:rsidRPr="007E2536" w:rsidRDefault="006F2F06" w:rsidP="006F2F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Darryn Calderón Trujillo - 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002 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de 201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14:paraId="0D084B68" w14:textId="77777777" w:rsidR="006F2F06" w:rsidRPr="00AF0CB1" w:rsidRDefault="006F2F06" w:rsidP="006F2F0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12418749" w14:textId="77777777" w:rsidR="002A4276" w:rsidRPr="006F2F06" w:rsidRDefault="002A4276" w:rsidP="006F2F06"/>
    <w:sectPr w:rsidR="002A4276" w:rsidRPr="006F2F06" w:rsidSect="00F81585">
      <w:headerReference w:type="default" r:id="rId11"/>
      <w:footerReference w:type="default" r:id="rId12"/>
      <w:pgSz w:w="12240" w:h="15840" w:code="1"/>
      <w:pgMar w:top="2268" w:right="1134" w:bottom="1134" w:left="1701" w:header="709" w:footer="1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B97C8" w14:textId="77777777" w:rsidR="00C516B3" w:rsidRDefault="00C516B3" w:rsidP="000C58E8">
      <w:pPr>
        <w:spacing w:after="0" w:line="240" w:lineRule="auto"/>
      </w:pPr>
      <w:r>
        <w:separator/>
      </w:r>
    </w:p>
  </w:endnote>
  <w:endnote w:type="continuationSeparator" w:id="0">
    <w:p w14:paraId="751276A1" w14:textId="77777777" w:rsidR="00C516B3" w:rsidRDefault="00C516B3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470D6" w14:textId="77777777" w:rsidR="00CC0827" w:rsidRDefault="00CC0827" w:rsidP="00921972">
    <w:pPr>
      <w:pStyle w:val="Piedepgina"/>
      <w:ind w:left="-1701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83E8F" w:rsidRPr="00083E8F">
      <w:rPr>
        <w:b/>
        <w:bCs/>
        <w:noProof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83E8F" w:rsidRPr="00083E8F">
      <w:rPr>
        <w:b/>
        <w:bCs/>
        <w:noProof/>
        <w:lang w:val="es-ES"/>
      </w:rPr>
      <w:t>3</w:t>
    </w:r>
    <w:r>
      <w:rPr>
        <w:b/>
        <w:bCs/>
      </w:rPr>
      <w:fldChar w:fldCharType="end"/>
    </w:r>
  </w:p>
  <w:p w14:paraId="1399888D" w14:textId="77777777" w:rsidR="00CC0827" w:rsidRDefault="00CC0827" w:rsidP="00EB711D">
    <w:pPr>
      <w:pStyle w:val="Piedepgina"/>
      <w:ind w:left="-1701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207B7" wp14:editId="560EA290">
              <wp:simplePos x="0" y="0"/>
              <wp:positionH relativeFrom="column">
                <wp:posOffset>-32385</wp:posOffset>
              </wp:positionH>
              <wp:positionV relativeFrom="paragraph">
                <wp:posOffset>37465</wp:posOffset>
              </wp:positionV>
              <wp:extent cx="876300" cy="390525"/>
              <wp:effectExtent l="0" t="0" r="19050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6098BE" w14:textId="77777777" w:rsidR="00CC0827" w:rsidRPr="00643927" w:rsidRDefault="00CC0827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Código: 208-SC-Ft-01</w:t>
                          </w:r>
                        </w:p>
                        <w:p w14:paraId="3ED09102" w14:textId="77777777" w:rsidR="00CC0827" w:rsidRPr="00643927" w:rsidRDefault="00CC0827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6257C75A" w14:textId="77777777" w:rsidR="00CC0827" w:rsidRPr="00643927" w:rsidRDefault="00CC0827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30</w:t>
                          </w:r>
                          <w:r w:rsidRPr="00643927">
                            <w:rPr>
                              <w:sz w:val="12"/>
                              <w:szCs w:val="12"/>
                            </w:rPr>
                            <w:t>/01/2019</w:t>
                          </w:r>
                        </w:p>
                        <w:p w14:paraId="5C87A86D" w14:textId="77777777" w:rsidR="00CC0827" w:rsidRPr="00F70E87" w:rsidRDefault="00CC0827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FA207B7" id="3 Rectángulo" o:spid="_x0000_s1027" style="position:absolute;left:0;text-align:left;margin-left:-2.55pt;margin-top:2.95pt;width:69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" fillcolor="white [3212]" strokecolor="white [3212]" strokeweight="2pt">
              <v:textbox>
                <w:txbxContent>
                  <w:p w14:paraId="326098BE" w14:textId="77777777" w:rsidR="00CC0827" w:rsidRPr="00643927" w:rsidRDefault="00CC082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Código: 208-SC-Ft-01</w:t>
                    </w:r>
                  </w:p>
                  <w:p w14:paraId="3ED09102" w14:textId="77777777" w:rsidR="00CC0827" w:rsidRPr="00643927" w:rsidRDefault="00CC082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14:paraId="6257C75A" w14:textId="77777777" w:rsidR="00CC0827" w:rsidRPr="00643927" w:rsidRDefault="00CC082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Vigente: </w:t>
                    </w:r>
                    <w:r>
                      <w:rPr>
                        <w:sz w:val="12"/>
                        <w:szCs w:val="12"/>
                      </w:rPr>
                      <w:t>30</w:t>
                    </w:r>
                    <w:r w:rsidRPr="00643927">
                      <w:rPr>
                        <w:sz w:val="12"/>
                        <w:szCs w:val="12"/>
                      </w:rPr>
                      <w:t>/01/2019</w:t>
                    </w:r>
                  </w:p>
                  <w:p w14:paraId="5C87A86D" w14:textId="77777777" w:rsidR="00CC0827" w:rsidRPr="00F70E87" w:rsidRDefault="00CC082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7216" behindDoc="1" locked="0" layoutInCell="1" allowOverlap="1" wp14:anchorId="0A7F592A" wp14:editId="528C547B">
          <wp:simplePos x="0" y="0"/>
          <wp:positionH relativeFrom="page">
            <wp:posOffset>619126</wp:posOffset>
          </wp:positionH>
          <wp:positionV relativeFrom="paragraph">
            <wp:posOffset>113665</wp:posOffset>
          </wp:positionV>
          <wp:extent cx="6838950" cy="1227455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227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5096F" w14:textId="77777777" w:rsidR="00C516B3" w:rsidRDefault="00C516B3" w:rsidP="000C58E8">
      <w:pPr>
        <w:spacing w:after="0" w:line="240" w:lineRule="auto"/>
      </w:pPr>
      <w:r>
        <w:separator/>
      </w:r>
    </w:p>
  </w:footnote>
  <w:footnote w:type="continuationSeparator" w:id="0">
    <w:p w14:paraId="2CF09D4F" w14:textId="77777777" w:rsidR="00C516B3" w:rsidRDefault="00C516B3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F16AE" w14:textId="77777777" w:rsidR="00CC0827" w:rsidRPr="00177920" w:rsidRDefault="00CC0827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2BD11A02" wp14:editId="0FDF969F">
          <wp:extent cx="900000" cy="90000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B5D28C" w14:textId="77777777" w:rsidR="00CC0827" w:rsidRDefault="00CC0827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131078" w:nlCheck="1" w:checkStyle="1"/>
  <w:activeWritingStyle w:appName="MSWord" w:lang="en-U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DA"/>
    <w:rsid w:val="00002905"/>
    <w:rsid w:val="0000332F"/>
    <w:rsid w:val="00003A92"/>
    <w:rsid w:val="00004084"/>
    <w:rsid w:val="00006E1A"/>
    <w:rsid w:val="00013FF2"/>
    <w:rsid w:val="00014B0A"/>
    <w:rsid w:val="000256D8"/>
    <w:rsid w:val="00027F6A"/>
    <w:rsid w:val="00031F3B"/>
    <w:rsid w:val="000335B7"/>
    <w:rsid w:val="00035E4F"/>
    <w:rsid w:val="00050E76"/>
    <w:rsid w:val="00051E81"/>
    <w:rsid w:val="00055B47"/>
    <w:rsid w:val="00066096"/>
    <w:rsid w:val="00076C23"/>
    <w:rsid w:val="000773A3"/>
    <w:rsid w:val="00077DE1"/>
    <w:rsid w:val="00082A2E"/>
    <w:rsid w:val="00083E8F"/>
    <w:rsid w:val="00084956"/>
    <w:rsid w:val="00090C46"/>
    <w:rsid w:val="00096F6A"/>
    <w:rsid w:val="000A1EAA"/>
    <w:rsid w:val="000A3925"/>
    <w:rsid w:val="000B2C3B"/>
    <w:rsid w:val="000C3678"/>
    <w:rsid w:val="000C4A79"/>
    <w:rsid w:val="000C58E8"/>
    <w:rsid w:val="000D0403"/>
    <w:rsid w:val="000D0F4C"/>
    <w:rsid w:val="000D1A76"/>
    <w:rsid w:val="000D4179"/>
    <w:rsid w:val="000D72BC"/>
    <w:rsid w:val="000E1755"/>
    <w:rsid w:val="000E2D99"/>
    <w:rsid w:val="000E6F99"/>
    <w:rsid w:val="000F1B99"/>
    <w:rsid w:val="000F39D9"/>
    <w:rsid w:val="001011D2"/>
    <w:rsid w:val="0010310A"/>
    <w:rsid w:val="001050D4"/>
    <w:rsid w:val="00107821"/>
    <w:rsid w:val="00114036"/>
    <w:rsid w:val="0011627F"/>
    <w:rsid w:val="00121000"/>
    <w:rsid w:val="001216E1"/>
    <w:rsid w:val="00123367"/>
    <w:rsid w:val="00130AD5"/>
    <w:rsid w:val="00132855"/>
    <w:rsid w:val="0014006E"/>
    <w:rsid w:val="00141A69"/>
    <w:rsid w:val="0015130E"/>
    <w:rsid w:val="00164AA5"/>
    <w:rsid w:val="00173D59"/>
    <w:rsid w:val="00177920"/>
    <w:rsid w:val="0018498E"/>
    <w:rsid w:val="00186BE7"/>
    <w:rsid w:val="0019480F"/>
    <w:rsid w:val="001964B7"/>
    <w:rsid w:val="001A17FE"/>
    <w:rsid w:val="001A450D"/>
    <w:rsid w:val="001B123F"/>
    <w:rsid w:val="001B78D3"/>
    <w:rsid w:val="001C0468"/>
    <w:rsid w:val="001C59BC"/>
    <w:rsid w:val="001D2790"/>
    <w:rsid w:val="001D5963"/>
    <w:rsid w:val="001E0FAD"/>
    <w:rsid w:val="001E11AE"/>
    <w:rsid w:val="001E3E1F"/>
    <w:rsid w:val="001F0136"/>
    <w:rsid w:val="001F1FDD"/>
    <w:rsid w:val="001F2245"/>
    <w:rsid w:val="0020294A"/>
    <w:rsid w:val="002034E3"/>
    <w:rsid w:val="002068B9"/>
    <w:rsid w:val="00210CB9"/>
    <w:rsid w:val="00215786"/>
    <w:rsid w:val="00221395"/>
    <w:rsid w:val="00221BD1"/>
    <w:rsid w:val="00221EC5"/>
    <w:rsid w:val="00241A63"/>
    <w:rsid w:val="0024486E"/>
    <w:rsid w:val="002475BD"/>
    <w:rsid w:val="0025079D"/>
    <w:rsid w:val="00261620"/>
    <w:rsid w:val="00270462"/>
    <w:rsid w:val="00271C6C"/>
    <w:rsid w:val="0027224F"/>
    <w:rsid w:val="00275724"/>
    <w:rsid w:val="002772CA"/>
    <w:rsid w:val="0027777A"/>
    <w:rsid w:val="002A4008"/>
    <w:rsid w:val="002A4276"/>
    <w:rsid w:val="002A4E15"/>
    <w:rsid w:val="002A568E"/>
    <w:rsid w:val="002B058C"/>
    <w:rsid w:val="002B0B64"/>
    <w:rsid w:val="002B28C0"/>
    <w:rsid w:val="002C1716"/>
    <w:rsid w:val="002C3454"/>
    <w:rsid w:val="002C4B68"/>
    <w:rsid w:val="002C5A58"/>
    <w:rsid w:val="002C67B6"/>
    <w:rsid w:val="002D76C6"/>
    <w:rsid w:val="002F59A8"/>
    <w:rsid w:val="00302E32"/>
    <w:rsid w:val="00303675"/>
    <w:rsid w:val="003074CA"/>
    <w:rsid w:val="00310F17"/>
    <w:rsid w:val="00316D58"/>
    <w:rsid w:val="00321EAC"/>
    <w:rsid w:val="00325217"/>
    <w:rsid w:val="00326F09"/>
    <w:rsid w:val="0034127D"/>
    <w:rsid w:val="00342842"/>
    <w:rsid w:val="00344DD7"/>
    <w:rsid w:val="00346170"/>
    <w:rsid w:val="00352B19"/>
    <w:rsid w:val="00362360"/>
    <w:rsid w:val="00370B94"/>
    <w:rsid w:val="0037735E"/>
    <w:rsid w:val="00380632"/>
    <w:rsid w:val="00380FF0"/>
    <w:rsid w:val="003877AF"/>
    <w:rsid w:val="00387C4A"/>
    <w:rsid w:val="00393505"/>
    <w:rsid w:val="0039692B"/>
    <w:rsid w:val="003A0989"/>
    <w:rsid w:val="003A3FF5"/>
    <w:rsid w:val="003A4896"/>
    <w:rsid w:val="003B768C"/>
    <w:rsid w:val="003C5CA8"/>
    <w:rsid w:val="003D08FF"/>
    <w:rsid w:val="003D112B"/>
    <w:rsid w:val="003D199E"/>
    <w:rsid w:val="003D1AA8"/>
    <w:rsid w:val="003E4BB7"/>
    <w:rsid w:val="003E6E7A"/>
    <w:rsid w:val="003F6965"/>
    <w:rsid w:val="00407FB8"/>
    <w:rsid w:val="00414BA1"/>
    <w:rsid w:val="00416CD4"/>
    <w:rsid w:val="00422ADE"/>
    <w:rsid w:val="0042440B"/>
    <w:rsid w:val="004251D6"/>
    <w:rsid w:val="00427F6F"/>
    <w:rsid w:val="00442C45"/>
    <w:rsid w:val="00447B1C"/>
    <w:rsid w:val="00452B20"/>
    <w:rsid w:val="00454A74"/>
    <w:rsid w:val="00460A2B"/>
    <w:rsid w:val="00462346"/>
    <w:rsid w:val="004678F8"/>
    <w:rsid w:val="00473324"/>
    <w:rsid w:val="00473860"/>
    <w:rsid w:val="0047514A"/>
    <w:rsid w:val="00481A67"/>
    <w:rsid w:val="004833D6"/>
    <w:rsid w:val="004A1F2E"/>
    <w:rsid w:val="004A43D8"/>
    <w:rsid w:val="004A6C5B"/>
    <w:rsid w:val="004A779E"/>
    <w:rsid w:val="004B0618"/>
    <w:rsid w:val="004D102E"/>
    <w:rsid w:val="004D1B2E"/>
    <w:rsid w:val="004D5A43"/>
    <w:rsid w:val="004D73FD"/>
    <w:rsid w:val="004E2C24"/>
    <w:rsid w:val="004E35FD"/>
    <w:rsid w:val="004E4D9D"/>
    <w:rsid w:val="004F5E67"/>
    <w:rsid w:val="00507A32"/>
    <w:rsid w:val="0051483F"/>
    <w:rsid w:val="0052686B"/>
    <w:rsid w:val="005337DE"/>
    <w:rsid w:val="005445BE"/>
    <w:rsid w:val="0054763A"/>
    <w:rsid w:val="005546AF"/>
    <w:rsid w:val="00554FB0"/>
    <w:rsid w:val="00561A19"/>
    <w:rsid w:val="00562ED1"/>
    <w:rsid w:val="00573580"/>
    <w:rsid w:val="00573E9E"/>
    <w:rsid w:val="00583D83"/>
    <w:rsid w:val="0058459B"/>
    <w:rsid w:val="00590865"/>
    <w:rsid w:val="0059119F"/>
    <w:rsid w:val="005956BE"/>
    <w:rsid w:val="005A2861"/>
    <w:rsid w:val="005A298E"/>
    <w:rsid w:val="005A328F"/>
    <w:rsid w:val="005B35F9"/>
    <w:rsid w:val="005B3B9D"/>
    <w:rsid w:val="005B6B5D"/>
    <w:rsid w:val="005D6B51"/>
    <w:rsid w:val="005E111E"/>
    <w:rsid w:val="005E2998"/>
    <w:rsid w:val="005E3FD3"/>
    <w:rsid w:val="005F286C"/>
    <w:rsid w:val="0060029B"/>
    <w:rsid w:val="00603917"/>
    <w:rsid w:val="00605F59"/>
    <w:rsid w:val="006072C5"/>
    <w:rsid w:val="00615698"/>
    <w:rsid w:val="00620137"/>
    <w:rsid w:val="006227DB"/>
    <w:rsid w:val="0063656D"/>
    <w:rsid w:val="006430E4"/>
    <w:rsid w:val="00643927"/>
    <w:rsid w:val="006460A2"/>
    <w:rsid w:val="006506FD"/>
    <w:rsid w:val="006512C3"/>
    <w:rsid w:val="006517C6"/>
    <w:rsid w:val="00652041"/>
    <w:rsid w:val="00660DEE"/>
    <w:rsid w:val="006639DA"/>
    <w:rsid w:val="00663FC5"/>
    <w:rsid w:val="006726D3"/>
    <w:rsid w:val="00676A2A"/>
    <w:rsid w:val="006774B3"/>
    <w:rsid w:val="0068406C"/>
    <w:rsid w:val="00695A7B"/>
    <w:rsid w:val="006A5421"/>
    <w:rsid w:val="006B104C"/>
    <w:rsid w:val="006B7351"/>
    <w:rsid w:val="006C09AA"/>
    <w:rsid w:val="006D2443"/>
    <w:rsid w:val="006D7AC5"/>
    <w:rsid w:val="006E54C6"/>
    <w:rsid w:val="006F0C20"/>
    <w:rsid w:val="006F12B9"/>
    <w:rsid w:val="006F2F06"/>
    <w:rsid w:val="006F5219"/>
    <w:rsid w:val="006F6E73"/>
    <w:rsid w:val="00711BE8"/>
    <w:rsid w:val="00724128"/>
    <w:rsid w:val="00725086"/>
    <w:rsid w:val="00725BD5"/>
    <w:rsid w:val="007307BA"/>
    <w:rsid w:val="00735E4F"/>
    <w:rsid w:val="00736F7B"/>
    <w:rsid w:val="007375DE"/>
    <w:rsid w:val="007407B7"/>
    <w:rsid w:val="0074176C"/>
    <w:rsid w:val="00751BE6"/>
    <w:rsid w:val="0075217F"/>
    <w:rsid w:val="00753EE7"/>
    <w:rsid w:val="0075607E"/>
    <w:rsid w:val="00761B46"/>
    <w:rsid w:val="00762049"/>
    <w:rsid w:val="00766E35"/>
    <w:rsid w:val="007725AF"/>
    <w:rsid w:val="00776343"/>
    <w:rsid w:val="007800CC"/>
    <w:rsid w:val="00784070"/>
    <w:rsid w:val="00793709"/>
    <w:rsid w:val="007A0634"/>
    <w:rsid w:val="007A0FF5"/>
    <w:rsid w:val="007B1DBC"/>
    <w:rsid w:val="007B5930"/>
    <w:rsid w:val="007C274C"/>
    <w:rsid w:val="007C7D13"/>
    <w:rsid w:val="007D224B"/>
    <w:rsid w:val="007E046B"/>
    <w:rsid w:val="007F54A7"/>
    <w:rsid w:val="007F62AA"/>
    <w:rsid w:val="00801F02"/>
    <w:rsid w:val="00802CB7"/>
    <w:rsid w:val="0081152E"/>
    <w:rsid w:val="0081468D"/>
    <w:rsid w:val="00816612"/>
    <w:rsid w:val="00825DB4"/>
    <w:rsid w:val="00826747"/>
    <w:rsid w:val="00830733"/>
    <w:rsid w:val="008336F2"/>
    <w:rsid w:val="00835D5E"/>
    <w:rsid w:val="00841B6B"/>
    <w:rsid w:val="00842B18"/>
    <w:rsid w:val="00844948"/>
    <w:rsid w:val="00853A9F"/>
    <w:rsid w:val="00853F0F"/>
    <w:rsid w:val="00856232"/>
    <w:rsid w:val="00861690"/>
    <w:rsid w:val="00866956"/>
    <w:rsid w:val="00876258"/>
    <w:rsid w:val="00877678"/>
    <w:rsid w:val="00897924"/>
    <w:rsid w:val="008A7BC5"/>
    <w:rsid w:val="008B25AC"/>
    <w:rsid w:val="008B34C2"/>
    <w:rsid w:val="008B38A3"/>
    <w:rsid w:val="008B67E9"/>
    <w:rsid w:val="008B7F40"/>
    <w:rsid w:val="008C601C"/>
    <w:rsid w:val="008C714F"/>
    <w:rsid w:val="008C7779"/>
    <w:rsid w:val="008D1500"/>
    <w:rsid w:val="008D1C30"/>
    <w:rsid w:val="008D79DA"/>
    <w:rsid w:val="008F5DB5"/>
    <w:rsid w:val="008F6B10"/>
    <w:rsid w:val="0090059C"/>
    <w:rsid w:val="0090343C"/>
    <w:rsid w:val="00904F1F"/>
    <w:rsid w:val="0091298D"/>
    <w:rsid w:val="0091670F"/>
    <w:rsid w:val="00921972"/>
    <w:rsid w:val="00923331"/>
    <w:rsid w:val="00923EA5"/>
    <w:rsid w:val="00924C6F"/>
    <w:rsid w:val="00933218"/>
    <w:rsid w:val="00937FF5"/>
    <w:rsid w:val="00941E95"/>
    <w:rsid w:val="00943E12"/>
    <w:rsid w:val="009463EE"/>
    <w:rsid w:val="009469CB"/>
    <w:rsid w:val="009469F1"/>
    <w:rsid w:val="009506D1"/>
    <w:rsid w:val="009535DE"/>
    <w:rsid w:val="00954285"/>
    <w:rsid w:val="009554B9"/>
    <w:rsid w:val="0096258D"/>
    <w:rsid w:val="00963B5A"/>
    <w:rsid w:val="00966F33"/>
    <w:rsid w:val="0097289C"/>
    <w:rsid w:val="009732B4"/>
    <w:rsid w:val="009765C4"/>
    <w:rsid w:val="009812C3"/>
    <w:rsid w:val="00981BC0"/>
    <w:rsid w:val="00991070"/>
    <w:rsid w:val="00993F8A"/>
    <w:rsid w:val="0099450C"/>
    <w:rsid w:val="00997817"/>
    <w:rsid w:val="009A777F"/>
    <w:rsid w:val="009B0A26"/>
    <w:rsid w:val="009B2B0B"/>
    <w:rsid w:val="009B6D9A"/>
    <w:rsid w:val="009B7BE3"/>
    <w:rsid w:val="009C38D8"/>
    <w:rsid w:val="009C73D8"/>
    <w:rsid w:val="009C7CD3"/>
    <w:rsid w:val="009D10D4"/>
    <w:rsid w:val="009D165F"/>
    <w:rsid w:val="009D2C89"/>
    <w:rsid w:val="009D345C"/>
    <w:rsid w:val="009E079C"/>
    <w:rsid w:val="009E56FC"/>
    <w:rsid w:val="009F374A"/>
    <w:rsid w:val="00A149DF"/>
    <w:rsid w:val="00A17932"/>
    <w:rsid w:val="00A17A5A"/>
    <w:rsid w:val="00A2521B"/>
    <w:rsid w:val="00A26CDE"/>
    <w:rsid w:val="00A30483"/>
    <w:rsid w:val="00A32CAC"/>
    <w:rsid w:val="00A54CA5"/>
    <w:rsid w:val="00A55294"/>
    <w:rsid w:val="00A640A4"/>
    <w:rsid w:val="00A67209"/>
    <w:rsid w:val="00A727C6"/>
    <w:rsid w:val="00A77C2C"/>
    <w:rsid w:val="00A77D13"/>
    <w:rsid w:val="00A77DC7"/>
    <w:rsid w:val="00A80DA2"/>
    <w:rsid w:val="00A95B08"/>
    <w:rsid w:val="00AA0E0E"/>
    <w:rsid w:val="00AB37A2"/>
    <w:rsid w:val="00AD3C7C"/>
    <w:rsid w:val="00AE0C90"/>
    <w:rsid w:val="00AE6C6A"/>
    <w:rsid w:val="00AE7B5D"/>
    <w:rsid w:val="00AF5061"/>
    <w:rsid w:val="00AF6A2C"/>
    <w:rsid w:val="00B004DA"/>
    <w:rsid w:val="00B01702"/>
    <w:rsid w:val="00B12643"/>
    <w:rsid w:val="00B17B20"/>
    <w:rsid w:val="00B17EF6"/>
    <w:rsid w:val="00B223E9"/>
    <w:rsid w:val="00B306FB"/>
    <w:rsid w:val="00B35CB4"/>
    <w:rsid w:val="00B436DC"/>
    <w:rsid w:val="00B577BF"/>
    <w:rsid w:val="00B64715"/>
    <w:rsid w:val="00B6526B"/>
    <w:rsid w:val="00B66BB2"/>
    <w:rsid w:val="00B67E71"/>
    <w:rsid w:val="00B72E68"/>
    <w:rsid w:val="00B80276"/>
    <w:rsid w:val="00B8105D"/>
    <w:rsid w:val="00B812C5"/>
    <w:rsid w:val="00B86F28"/>
    <w:rsid w:val="00B9424D"/>
    <w:rsid w:val="00B94404"/>
    <w:rsid w:val="00BA2636"/>
    <w:rsid w:val="00BA5B7E"/>
    <w:rsid w:val="00BB27A3"/>
    <w:rsid w:val="00BC0B2C"/>
    <w:rsid w:val="00BC34E2"/>
    <w:rsid w:val="00BC79A1"/>
    <w:rsid w:val="00BD0322"/>
    <w:rsid w:val="00BD2C28"/>
    <w:rsid w:val="00BD6EE6"/>
    <w:rsid w:val="00BE0F19"/>
    <w:rsid w:val="00C01E07"/>
    <w:rsid w:val="00C01E66"/>
    <w:rsid w:val="00C058F6"/>
    <w:rsid w:val="00C12E80"/>
    <w:rsid w:val="00C138EA"/>
    <w:rsid w:val="00C17676"/>
    <w:rsid w:val="00C2599E"/>
    <w:rsid w:val="00C35705"/>
    <w:rsid w:val="00C364CA"/>
    <w:rsid w:val="00C365CD"/>
    <w:rsid w:val="00C42A5D"/>
    <w:rsid w:val="00C42FCA"/>
    <w:rsid w:val="00C4488A"/>
    <w:rsid w:val="00C46DA1"/>
    <w:rsid w:val="00C474E5"/>
    <w:rsid w:val="00C51372"/>
    <w:rsid w:val="00C516B3"/>
    <w:rsid w:val="00C54C91"/>
    <w:rsid w:val="00C60DE9"/>
    <w:rsid w:val="00C63F7A"/>
    <w:rsid w:val="00C64D34"/>
    <w:rsid w:val="00C773AC"/>
    <w:rsid w:val="00C8391D"/>
    <w:rsid w:val="00C84720"/>
    <w:rsid w:val="00C85404"/>
    <w:rsid w:val="00C879C5"/>
    <w:rsid w:val="00C9021F"/>
    <w:rsid w:val="00C94716"/>
    <w:rsid w:val="00C960A8"/>
    <w:rsid w:val="00CA01ED"/>
    <w:rsid w:val="00CA39AC"/>
    <w:rsid w:val="00CB1C45"/>
    <w:rsid w:val="00CB476E"/>
    <w:rsid w:val="00CC0827"/>
    <w:rsid w:val="00CD395E"/>
    <w:rsid w:val="00CD5638"/>
    <w:rsid w:val="00CE01AC"/>
    <w:rsid w:val="00D02FD3"/>
    <w:rsid w:val="00D207EB"/>
    <w:rsid w:val="00D47418"/>
    <w:rsid w:val="00D51EFE"/>
    <w:rsid w:val="00D5328E"/>
    <w:rsid w:val="00D54968"/>
    <w:rsid w:val="00D54BAF"/>
    <w:rsid w:val="00D61D99"/>
    <w:rsid w:val="00D64B87"/>
    <w:rsid w:val="00D73235"/>
    <w:rsid w:val="00D75E60"/>
    <w:rsid w:val="00D764B0"/>
    <w:rsid w:val="00D774B6"/>
    <w:rsid w:val="00D77722"/>
    <w:rsid w:val="00D80EF7"/>
    <w:rsid w:val="00D80F15"/>
    <w:rsid w:val="00D86B63"/>
    <w:rsid w:val="00DA0BDA"/>
    <w:rsid w:val="00DB1F7E"/>
    <w:rsid w:val="00DB3B3A"/>
    <w:rsid w:val="00DC50FB"/>
    <w:rsid w:val="00DC52A1"/>
    <w:rsid w:val="00DC6CC6"/>
    <w:rsid w:val="00DD22F5"/>
    <w:rsid w:val="00DD6464"/>
    <w:rsid w:val="00DD71FA"/>
    <w:rsid w:val="00DE109B"/>
    <w:rsid w:val="00E02831"/>
    <w:rsid w:val="00E16814"/>
    <w:rsid w:val="00E20263"/>
    <w:rsid w:val="00E20BE8"/>
    <w:rsid w:val="00E2550E"/>
    <w:rsid w:val="00E278AB"/>
    <w:rsid w:val="00E33206"/>
    <w:rsid w:val="00E40F21"/>
    <w:rsid w:val="00E435AF"/>
    <w:rsid w:val="00E447E5"/>
    <w:rsid w:val="00E457AA"/>
    <w:rsid w:val="00E458D8"/>
    <w:rsid w:val="00E4688E"/>
    <w:rsid w:val="00E46B29"/>
    <w:rsid w:val="00E625BB"/>
    <w:rsid w:val="00E72ADD"/>
    <w:rsid w:val="00E7344F"/>
    <w:rsid w:val="00E73CE7"/>
    <w:rsid w:val="00E75DB5"/>
    <w:rsid w:val="00E7760E"/>
    <w:rsid w:val="00E840E1"/>
    <w:rsid w:val="00E85332"/>
    <w:rsid w:val="00E859CB"/>
    <w:rsid w:val="00E949F7"/>
    <w:rsid w:val="00E95180"/>
    <w:rsid w:val="00E97B6F"/>
    <w:rsid w:val="00EA063F"/>
    <w:rsid w:val="00EA1C4F"/>
    <w:rsid w:val="00EB037C"/>
    <w:rsid w:val="00EB2467"/>
    <w:rsid w:val="00EB36F5"/>
    <w:rsid w:val="00EB711D"/>
    <w:rsid w:val="00EC3AE3"/>
    <w:rsid w:val="00EC43D9"/>
    <w:rsid w:val="00EC76CB"/>
    <w:rsid w:val="00ED127F"/>
    <w:rsid w:val="00ED7183"/>
    <w:rsid w:val="00EE2FBB"/>
    <w:rsid w:val="00EE3BD7"/>
    <w:rsid w:val="00EF05D3"/>
    <w:rsid w:val="00EF29CB"/>
    <w:rsid w:val="00EF763B"/>
    <w:rsid w:val="00EF76FE"/>
    <w:rsid w:val="00EF7932"/>
    <w:rsid w:val="00F11332"/>
    <w:rsid w:val="00F11EC9"/>
    <w:rsid w:val="00F16E95"/>
    <w:rsid w:val="00F205B5"/>
    <w:rsid w:val="00F218AC"/>
    <w:rsid w:val="00F3117A"/>
    <w:rsid w:val="00F31457"/>
    <w:rsid w:val="00F3354D"/>
    <w:rsid w:val="00F34411"/>
    <w:rsid w:val="00F36F6C"/>
    <w:rsid w:val="00F42FE6"/>
    <w:rsid w:val="00F45222"/>
    <w:rsid w:val="00F46FB5"/>
    <w:rsid w:val="00F563A8"/>
    <w:rsid w:val="00F60B3F"/>
    <w:rsid w:val="00F61D65"/>
    <w:rsid w:val="00F64C9E"/>
    <w:rsid w:val="00F6655A"/>
    <w:rsid w:val="00F66CEC"/>
    <w:rsid w:val="00F70B90"/>
    <w:rsid w:val="00F70E87"/>
    <w:rsid w:val="00F7403F"/>
    <w:rsid w:val="00F752D5"/>
    <w:rsid w:val="00F81585"/>
    <w:rsid w:val="00F9085C"/>
    <w:rsid w:val="00F92FA0"/>
    <w:rsid w:val="00F9433A"/>
    <w:rsid w:val="00F96A2C"/>
    <w:rsid w:val="00FA427B"/>
    <w:rsid w:val="00FB0F06"/>
    <w:rsid w:val="00FB12E6"/>
    <w:rsid w:val="00FB3B15"/>
    <w:rsid w:val="00FB6FC2"/>
    <w:rsid w:val="00FC0210"/>
    <w:rsid w:val="00FC4E85"/>
    <w:rsid w:val="00FC5D5E"/>
    <w:rsid w:val="00FC6A5D"/>
    <w:rsid w:val="00FE39C1"/>
    <w:rsid w:val="00FF11FE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D692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3">
    <w:name w:val="Tabla con cuadrícula 4 - Énfasis 13"/>
    <w:basedOn w:val="Tablanormal"/>
    <w:uiPriority w:val="49"/>
    <w:rsid w:val="00F314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3">
    <w:name w:val="Tabla con cuadrícula 4 - Énfasis 13"/>
    <w:basedOn w:val="Tablanormal"/>
    <w:uiPriority w:val="49"/>
    <w:rsid w:val="00F314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ownloads\grid_vw_reporte_visita_atencion%20(34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Ago%202019\reporte%20sima%20Agosto%202019%20-%20Editado%20-%20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200" b="1" i="0" baseline="0">
                <a:effectLst/>
              </a:rPr>
              <a:t>CANTIDAD DE CIUDADANOS ATENDIDOS POR DEPENDENCIAS - SEPTIEMBRE 2019</a:t>
            </a:r>
            <a:endParaRPr lang="es-CO" sz="1200">
              <a:effectLst/>
            </a:endParaRP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44601762949274198"/>
          <c:y val="0.126007326007326"/>
          <c:w val="0.50266434329637366"/>
          <c:h val="0.78885962331631609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'[grid_vw_reporte_visita_atencion (34).xls]Hoja1'!$D$5:$D$12</c:f>
              <c:strCache>
                <c:ptCount val="8"/>
                <c:pt idx="0">
                  <c:v>SUBDIRECCIÓN FINANCIERA</c:v>
                </c:pt>
                <c:pt idx="1">
                  <c:v>DIRECCIÓN JURIDICA </c:v>
                </c:pt>
                <c:pt idx="2">
                  <c:v>DIRECCION DE MEJORAMIENTO DE BARRIOS</c:v>
                </c:pt>
                <c:pt idx="3">
                  <c:v>DIRECCION DE MEJORAMIENTO DE VIVIENDA</c:v>
                </c:pt>
                <c:pt idx="4">
                  <c:v>DIRECCION DE REASENTAMIENTOS</c:v>
                </c:pt>
                <c:pt idx="5">
                  <c:v>DIRECCION DE URBANIZACIONES Y TITULACION</c:v>
                </c:pt>
                <c:pt idx="6">
                  <c:v>SUBDIRECCION ADMINISTRATIVA</c:v>
                </c:pt>
                <c:pt idx="7">
                  <c:v>TOTAL </c:v>
                </c:pt>
              </c:strCache>
            </c:strRef>
          </c:cat>
          <c:val>
            <c:numRef>
              <c:f>'[grid_vw_reporte_visita_atencion (34).xls]Hoja1'!$E$5:$E$12</c:f>
              <c:numCache>
                <c:formatCode>General</c:formatCode>
                <c:ptCount val="8"/>
                <c:pt idx="0">
                  <c:v>66</c:v>
                </c:pt>
                <c:pt idx="1">
                  <c:v>3</c:v>
                </c:pt>
                <c:pt idx="2">
                  <c:v>3</c:v>
                </c:pt>
                <c:pt idx="3">
                  <c:v>807</c:v>
                </c:pt>
                <c:pt idx="4">
                  <c:v>1281</c:v>
                </c:pt>
                <c:pt idx="5">
                  <c:v>1032</c:v>
                </c:pt>
                <c:pt idx="6">
                  <c:v>2</c:v>
                </c:pt>
                <c:pt idx="7">
                  <c:v>3194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13-4D86-BB5C-A6C3A97A6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7944960"/>
        <c:axId val="201861376"/>
        <c:axId val="0"/>
      </c:bar3DChart>
      <c:catAx>
        <c:axId val="1879449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201861376"/>
        <c:crosses val="autoZero"/>
        <c:auto val="1"/>
        <c:lblAlgn val="ctr"/>
        <c:lblOffset val="100"/>
        <c:noMultiLvlLbl val="0"/>
      </c:catAx>
      <c:valAx>
        <c:axId val="201861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879449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PORCENTAJE DE CIUDADANOS ATENDIDOS POR DEPENDENCIAS - </a:t>
            </a:r>
          </a:p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SEPTIEMBRE 2019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17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5467291479394772E-2"/>
          <c:y val="0.10833501444690295"/>
          <c:w val="0.92074767946583091"/>
          <c:h val="0.80583234334423137"/>
        </c:manualLayout>
      </c:layout>
      <c:pie3DChart>
        <c:varyColors val="1"/>
        <c:ser>
          <c:idx val="0"/>
          <c:order val="0"/>
          <c:tx>
            <c:strRef>
              <c:f>'Gráficas &amp; Tablas'!$B$95</c:f>
              <c:strCache>
                <c:ptCount val="1"/>
                <c:pt idx="0">
                  <c:v>CANTIDAD DE CIUDADANOS ATENDIDOS POR DEPENDENCIAS - AGOSTO 2019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etal">
              <a:bevelT w="165100" prst="coolSlant"/>
              <a:bevelB w="165100" prst="coolSlant"/>
            </a:sp3d>
          </c:spPr>
          <c:explosion val="25"/>
          <c:dPt>
            <c:idx val="0"/>
            <c:bubble3D val="0"/>
            <c:spPr>
              <a:solidFill>
                <a:schemeClr val="accent1">
                  <a:shade val="4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FD3-4998-9288-6CDABBD4FD1C}"/>
              </c:ext>
            </c:extLst>
          </c:dPt>
          <c:dPt>
            <c:idx val="1"/>
            <c:bubble3D val="0"/>
            <c:spPr>
              <a:solidFill>
                <a:schemeClr val="accent1">
                  <a:shade val="61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FD3-4998-9288-6CDABBD4FD1C}"/>
              </c:ext>
            </c:extLst>
          </c:dPt>
          <c:dPt>
            <c:idx val="2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FD3-4998-9288-6CDABBD4FD1C}"/>
              </c:ext>
            </c:extLst>
          </c:dPt>
          <c:dPt>
            <c:idx val="3"/>
            <c:bubble3D val="0"/>
            <c:spPr>
              <a:solidFill>
                <a:schemeClr val="accent1">
                  <a:shade val="92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FD3-4998-9288-6CDABBD4FD1C}"/>
              </c:ext>
            </c:extLst>
          </c:dPt>
          <c:dPt>
            <c:idx val="4"/>
            <c:bubble3D val="0"/>
            <c:spPr>
              <a:solidFill>
                <a:schemeClr val="accent1">
                  <a:tint val="93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FD3-4998-9288-6CDABBD4FD1C}"/>
              </c:ext>
            </c:extLst>
          </c:dPt>
          <c:dPt>
            <c:idx val="5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3FD3-4998-9288-6CDABBD4FD1C}"/>
              </c:ext>
            </c:extLst>
          </c:dPt>
          <c:dPt>
            <c:idx val="6"/>
            <c:bubble3D val="0"/>
            <c:spPr>
              <a:solidFill>
                <a:schemeClr val="accent1">
                  <a:tint val="62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FD3-4998-9288-6CDABBD4FD1C}"/>
              </c:ext>
            </c:extLst>
          </c:dPt>
          <c:dPt>
            <c:idx val="7"/>
            <c:bubble3D val="0"/>
            <c:spPr>
              <a:solidFill>
                <a:schemeClr val="accent1">
                  <a:tint val="46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3FD3-4998-9288-6CDABBD4FD1C}"/>
              </c:ext>
            </c:extLst>
          </c:dPt>
          <c:dLbls>
            <c:dLbl>
              <c:idx val="0"/>
              <c:layout>
                <c:manualLayout>
                  <c:x val="0.17614561280276647"/>
                  <c:y val="-0.22599908846286457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DIRECCION DE MEJORAMIENTO DE VIVIENDA
25,27%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D3-4998-9288-6CDABBD4FD1C}"/>
                </c:ext>
              </c:extLst>
            </c:dLbl>
            <c:dLbl>
              <c:idx val="1"/>
              <c:layout>
                <c:manualLayout>
                  <c:x val="0.15104241882428451"/>
                  <c:y val="9.4050352286688038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DIRECCION DE REASENTAMIENTOS
40,11%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FD3-4998-9288-6CDABBD4FD1C}"/>
                </c:ext>
              </c:extLst>
            </c:dLbl>
            <c:dLbl>
              <c:idx val="2"/>
              <c:layout>
                <c:manualLayout>
                  <c:x val="-0.17051362029527961"/>
                  <c:y val="-9.2926194311111682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DIRECCION DE URBANIZACIONES Y TITULACION
32,31%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FD3-4998-9288-6CDABBD4FD1C}"/>
                </c:ext>
              </c:extLst>
            </c:dLbl>
            <c:dLbl>
              <c:idx val="3"/>
              <c:layout>
                <c:manualLayout>
                  <c:x val="0.18783090113735784"/>
                  <c:y val="3.05556854898088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DIRECCION JURIDICA
0,09%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FD3-4998-9288-6CDABBD4FD1C}"/>
                </c:ext>
              </c:extLst>
            </c:dLbl>
            <c:dLbl>
              <c:idx val="4"/>
              <c:layout>
                <c:manualLayout>
                  <c:x val="6.7555555555555549E-2"/>
                  <c:y val="6.69801179005978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SUBDIRECCION FINANCIERA - CARTERA
2,07%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FD3-4998-9288-6CDABBD4FD1C}"/>
                </c:ext>
              </c:extLst>
            </c:dLbl>
            <c:dLbl>
              <c:idx val="5"/>
              <c:layout>
                <c:manualLayout>
                  <c:x val="-8.0446964129483808E-2"/>
                  <c:y val="8.13232504352797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DIRECCION DE MEJORAMIENTO DE BARRIOS
0,09%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FD3-4998-9288-6CDABBD4FD1C}"/>
                </c:ext>
              </c:extLst>
            </c:dLbl>
            <c:dLbl>
              <c:idx val="6"/>
              <c:layout>
                <c:manualLayout>
                  <c:x val="-0.22917725284339457"/>
                  <c:y val="6.94543533496012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SUBDIRECCION ADMINISTRATIVA
0,09%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FD3-4998-9288-6CDABBD4FD1C}"/>
                </c:ext>
              </c:extLst>
            </c:dLbl>
            <c:dLbl>
              <c:idx val="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FD3-4998-9288-6CDABBD4FD1C}"/>
                </c:ext>
              </c:extLst>
            </c:dLbl>
            <c:dLbl>
              <c:idx val="8"/>
              <c:layout>
                <c:manualLayout>
                  <c:x val="-5.7755450568678916E-2"/>
                  <c:y val="-7.651363068434337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FD3-4998-9288-6CDABBD4FD1C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'Gráficas &amp; Tablas'!$A$96:$A$103</c:f>
              <c:strCache>
                <c:ptCount val="8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DIRECCION GENERAL</c:v>
                </c:pt>
                <c:pt idx="4">
                  <c:v>SUBDIRECCION FINANCIERA - CARTERA</c:v>
                </c:pt>
                <c:pt idx="5">
                  <c:v>DIRECCION DE MEJORAMIENTO DE BARRIOS</c:v>
                </c:pt>
                <c:pt idx="6">
                  <c:v>SUBDIRECCION ADMINISTRATIVA</c:v>
                </c:pt>
                <c:pt idx="7">
                  <c:v>OFICINA TIC</c:v>
                </c:pt>
              </c:strCache>
            </c:strRef>
          </c:cat>
          <c:val>
            <c:numRef>
              <c:f>'Gráficas &amp; Tablas'!$B$96:$B$103</c:f>
              <c:numCache>
                <c:formatCode>General</c:formatCode>
                <c:ptCount val="8"/>
                <c:pt idx="0">
                  <c:v>721</c:v>
                </c:pt>
                <c:pt idx="1">
                  <c:v>1362</c:v>
                </c:pt>
                <c:pt idx="2">
                  <c:v>1099</c:v>
                </c:pt>
                <c:pt idx="3">
                  <c:v>2</c:v>
                </c:pt>
                <c:pt idx="4">
                  <c:v>54</c:v>
                </c:pt>
                <c:pt idx="5">
                  <c:v>7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3FD3-4998-9288-6CDABBD4FD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rgbClr val="002060">
        <a:alpha val="5000"/>
      </a:srgbClr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baseline="0">
                <a:effectLst/>
              </a:rPr>
              <a:t>RESULTADO DE LAS LLAMADAS ENTRANTES</a:t>
            </a:r>
            <a:endParaRPr lang="es-CO">
              <a:effectLst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Hoja2!$A$64:$A$70</c:f>
              <c:strCache>
                <c:ptCount val="7"/>
                <c:pt idx="0">
                  <c:v>DEPENDENCIA</c:v>
                </c:pt>
                <c:pt idx="1">
                  <c:v>Dirección de Reasentamientos Humanos</c:v>
                </c:pt>
                <c:pt idx="2">
                  <c:v>Dirección de Mejoramiento de Vivienda</c:v>
                </c:pt>
                <c:pt idx="3">
                  <c:v>Dirección de Urbanizaciones y Titulación</c:v>
                </c:pt>
                <c:pt idx="4">
                  <c:v>Subdirección Financiera - Cartera</c:v>
                </c:pt>
                <c:pt idx="5">
                  <c:v>Subdirección Administrativa</c:v>
                </c:pt>
                <c:pt idx="6">
                  <c:v>TOTAL</c:v>
                </c:pt>
              </c:strCache>
            </c:strRef>
          </c:cat>
          <c:val>
            <c:numRef>
              <c:f>Hoja2!$B$64:$B$70</c:f>
              <c:numCache>
                <c:formatCode>General</c:formatCode>
                <c:ptCount val="7"/>
                <c:pt idx="1">
                  <c:v>63</c:v>
                </c:pt>
                <c:pt idx="2">
                  <c:v>25</c:v>
                </c:pt>
                <c:pt idx="3">
                  <c:v>24</c:v>
                </c:pt>
                <c:pt idx="4">
                  <c:v>2</c:v>
                </c:pt>
                <c:pt idx="5">
                  <c:v>1</c:v>
                </c:pt>
                <c:pt idx="6">
                  <c:v>115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B0F-4DDE-86E9-8C408B0549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7945472"/>
        <c:axId val="201864256"/>
        <c:axId val="0"/>
      </c:bar3DChart>
      <c:catAx>
        <c:axId val="1879454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201864256"/>
        <c:crosses val="autoZero"/>
        <c:auto val="1"/>
        <c:lblAlgn val="ctr"/>
        <c:lblOffset val="100"/>
        <c:noMultiLvlLbl val="0"/>
      </c:catAx>
      <c:valAx>
        <c:axId val="2018642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7945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1545</Words>
  <Characters>8498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Roberto Carlos Narvaez Cortes</cp:lastModifiedBy>
  <cp:revision>2</cp:revision>
  <cp:lastPrinted>2019-07-05T19:39:00Z</cp:lastPrinted>
  <dcterms:created xsi:type="dcterms:W3CDTF">2019-10-08T20:29:00Z</dcterms:created>
  <dcterms:modified xsi:type="dcterms:W3CDTF">2019-10-08T20:29:00Z</dcterms:modified>
</cp:coreProperties>
</file>